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DE10" w14:textId="513484EF" w:rsidR="00841BCD" w:rsidRPr="00BE3CA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E3CA8">
        <w:rPr>
          <w:rFonts w:ascii="Arial" w:eastAsia="SimSun" w:hAnsi="Arial" w:cs="Times New Roman"/>
          <w:b/>
          <w:bCs/>
          <w:sz w:val="24"/>
          <w:szCs w:val="20"/>
        </w:rPr>
        <w:t>3GPP T</w:t>
      </w:r>
      <w:bookmarkStart w:id="2" w:name="_Ref452454252"/>
      <w:bookmarkEnd w:id="2"/>
      <w:r w:rsidRPr="00BE3CA8">
        <w:rPr>
          <w:rFonts w:ascii="Arial" w:eastAsia="SimSun" w:hAnsi="Arial" w:cs="Times New Roman"/>
          <w:b/>
          <w:bCs/>
          <w:sz w:val="24"/>
          <w:szCs w:val="20"/>
        </w:rPr>
        <w:t xml:space="preserve">SG-RAN </w:t>
      </w:r>
      <w:r w:rsidR="00ED7600" w:rsidRPr="00BE3CA8">
        <w:rPr>
          <w:rFonts w:ascii="Arial" w:eastAsia="SimSun" w:hAnsi="Arial" w:cs="Times New Roman"/>
          <w:b/>
          <w:sz w:val="24"/>
          <w:szCs w:val="20"/>
        </w:rPr>
        <w:t>WG4 Meeting #</w:t>
      </w:r>
      <w:r w:rsidR="001868EE" w:rsidRPr="00BE3CA8">
        <w:rPr>
          <w:rFonts w:ascii="Arial" w:eastAsia="SimSun" w:hAnsi="Arial" w:cs="Times New Roman"/>
          <w:b/>
          <w:sz w:val="24"/>
          <w:szCs w:val="20"/>
        </w:rPr>
        <w:t>10</w:t>
      </w:r>
      <w:r w:rsidR="00521576" w:rsidRPr="00BE3CA8">
        <w:rPr>
          <w:rFonts w:ascii="Arial" w:eastAsia="SimSun" w:hAnsi="Arial" w:cs="Times New Roman"/>
          <w:b/>
          <w:sz w:val="24"/>
          <w:szCs w:val="20"/>
        </w:rPr>
        <w:t>6</w:t>
      </w:r>
      <w:r w:rsidR="006A3C11" w:rsidRPr="00BE3CA8">
        <w:rPr>
          <w:rFonts w:ascii="Arial" w:eastAsia="SimSun" w:hAnsi="Arial" w:cs="Times New Roman"/>
          <w:b/>
          <w:sz w:val="24"/>
          <w:szCs w:val="20"/>
        </w:rPr>
        <w:t xml:space="preserve"> </w:t>
      </w:r>
      <w:r w:rsidR="00AC5D0B">
        <w:rPr>
          <w:rFonts w:ascii="Arial" w:eastAsia="SimSun" w:hAnsi="Arial" w:cs="Times New Roman"/>
          <w:b/>
          <w:sz w:val="24"/>
          <w:szCs w:val="20"/>
        </w:rPr>
        <w:t>-bis</w:t>
      </w:r>
      <w:r w:rsidRPr="00BE3CA8">
        <w:rPr>
          <w:rFonts w:ascii="Arial" w:eastAsia="SimSun" w:hAnsi="Arial" w:cs="Times New Roman"/>
          <w:b/>
          <w:bCs/>
          <w:sz w:val="24"/>
          <w:szCs w:val="20"/>
        </w:rPr>
        <w:tab/>
      </w:r>
      <w:r w:rsidR="008824E4" w:rsidRPr="008824E4">
        <w:rPr>
          <w:rFonts w:ascii="Arial" w:eastAsia="SimSun" w:hAnsi="Arial" w:cs="Times New Roman"/>
          <w:b/>
          <w:bCs/>
          <w:sz w:val="24"/>
          <w:szCs w:val="20"/>
          <w:lang w:eastAsia="ja-JP"/>
        </w:rPr>
        <w:t>R4-</w:t>
      </w:r>
      <w:r w:rsidR="003B46BD" w:rsidRPr="003B46BD">
        <w:rPr>
          <w:rFonts w:ascii="Arial" w:eastAsia="SimSun" w:hAnsi="Arial" w:cs="Times New Roman"/>
          <w:b/>
          <w:bCs/>
          <w:sz w:val="24"/>
          <w:szCs w:val="20"/>
        </w:rPr>
        <w:t>2304050</w:t>
      </w:r>
    </w:p>
    <w:p w14:paraId="68AAD50E" w14:textId="38E9BA06" w:rsidR="00841BCD" w:rsidRPr="00BE3CA8" w:rsidRDefault="00AC5D0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BE3CA8">
        <w:rPr>
          <w:rFonts w:ascii="Arial" w:eastAsia="SimSun" w:hAnsi="Arial" w:cs="Times New Roman"/>
          <w:b/>
          <w:sz w:val="24"/>
          <w:szCs w:val="20"/>
        </w:rPr>
        <w:t xml:space="preserve">, </w:t>
      </w:r>
      <w:r>
        <w:rPr>
          <w:rFonts w:ascii="Arial" w:eastAsia="SimSun" w:hAnsi="Arial" w:cs="Times New Roman"/>
          <w:b/>
          <w:sz w:val="24"/>
          <w:szCs w:val="20"/>
        </w:rPr>
        <w:t>April 1</w:t>
      </w:r>
      <w:r w:rsidR="00521576" w:rsidRPr="00BE3CA8">
        <w:rPr>
          <w:rFonts w:ascii="Arial" w:eastAsia="SimSun" w:hAnsi="Arial" w:cs="Times New Roman"/>
          <w:b/>
          <w:sz w:val="24"/>
          <w:szCs w:val="20"/>
        </w:rPr>
        <w:t>7</w:t>
      </w:r>
      <w:r w:rsidR="00A04992" w:rsidRPr="00BE3CA8">
        <w:rPr>
          <w:rFonts w:ascii="Arial" w:eastAsia="SimSun" w:hAnsi="Arial" w:cs="Times New Roman"/>
          <w:b/>
          <w:sz w:val="24"/>
          <w:szCs w:val="20"/>
        </w:rPr>
        <w:t xml:space="preserve"> – </w:t>
      </w:r>
      <w:r>
        <w:rPr>
          <w:rFonts w:ascii="Arial" w:eastAsia="SimSun" w:hAnsi="Arial" w:cs="Times New Roman"/>
          <w:b/>
          <w:sz w:val="24"/>
          <w:szCs w:val="20"/>
        </w:rPr>
        <w:t>April</w:t>
      </w:r>
      <w:r w:rsidR="00A04992" w:rsidRPr="00BE3CA8">
        <w:rPr>
          <w:rFonts w:ascii="Arial" w:eastAsia="SimSun" w:hAnsi="Arial" w:cs="Times New Roman"/>
          <w:b/>
          <w:sz w:val="24"/>
          <w:szCs w:val="20"/>
        </w:rPr>
        <w:t xml:space="preserve"> </w:t>
      </w:r>
      <w:r>
        <w:rPr>
          <w:rFonts w:ascii="Arial" w:eastAsia="SimSun" w:hAnsi="Arial" w:cs="Times New Roman"/>
          <w:b/>
          <w:sz w:val="24"/>
          <w:szCs w:val="20"/>
        </w:rPr>
        <w:t>26</w:t>
      </w:r>
      <w:r w:rsidR="00A04992" w:rsidRPr="00BE3CA8">
        <w:rPr>
          <w:rFonts w:ascii="Arial" w:eastAsia="SimSun" w:hAnsi="Arial" w:cs="Times New Roman"/>
          <w:b/>
          <w:sz w:val="24"/>
          <w:szCs w:val="20"/>
        </w:rPr>
        <w:t>, 202</w:t>
      </w:r>
      <w:r w:rsidR="00521576" w:rsidRPr="00BE3CA8">
        <w:rPr>
          <w:rFonts w:ascii="Arial" w:eastAsia="SimSun" w:hAnsi="Arial" w:cs="Times New Roman"/>
          <w:b/>
          <w:sz w:val="24"/>
          <w:szCs w:val="20"/>
        </w:rPr>
        <w:t>3</w:t>
      </w:r>
    </w:p>
    <w:bookmarkEnd w:id="0"/>
    <w:bookmarkEnd w:id="1"/>
    <w:p w14:paraId="7CBC55FB" w14:textId="77777777" w:rsidR="00841BCD" w:rsidRPr="00BE3CA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3B8940" w14:textId="77777777" w:rsidR="00841BCD" w:rsidRPr="00BE3CA8" w:rsidRDefault="00841BCD" w:rsidP="00841BCD">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 xml:space="preserve">Nokia, </w:t>
      </w:r>
      <w:r w:rsidR="0043750A" w:rsidRPr="00BE3CA8">
        <w:rPr>
          <w:rFonts w:ascii="Arial" w:eastAsia="Calibri" w:hAnsi="Arial" w:cs="Arial"/>
          <w:b/>
          <w:bCs/>
          <w:sz w:val="24"/>
        </w:rPr>
        <w:t>Nokia</w:t>
      </w:r>
      <w:r w:rsidRPr="00BE3CA8">
        <w:rPr>
          <w:rFonts w:ascii="Arial" w:eastAsia="Calibri" w:hAnsi="Arial" w:cs="Arial"/>
          <w:b/>
          <w:bCs/>
          <w:sz w:val="24"/>
        </w:rPr>
        <w:t xml:space="preserve"> Shanghai Bell</w:t>
      </w:r>
    </w:p>
    <w:p w14:paraId="670D3AE2" w14:textId="6E5A8B79" w:rsidR="00841BCD" w:rsidRPr="00BE3CA8" w:rsidRDefault="00841BCD" w:rsidP="00841BCD">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4D713B">
        <w:rPr>
          <w:rFonts w:ascii="Arial" w:eastAsia="Calibri" w:hAnsi="Arial" w:cs="Arial"/>
          <w:b/>
          <w:bCs/>
          <w:sz w:val="24"/>
        </w:rPr>
        <w:t>O</w:t>
      </w:r>
      <w:r w:rsidR="006E4729" w:rsidRPr="006E4729">
        <w:rPr>
          <w:rFonts w:ascii="Arial" w:eastAsia="Calibri" w:hAnsi="Arial" w:cs="Arial"/>
          <w:b/>
          <w:bCs/>
          <w:sz w:val="24"/>
        </w:rPr>
        <w:t xml:space="preserve">n </w:t>
      </w:r>
      <w:proofErr w:type="spellStart"/>
      <w:r w:rsidR="004D713B">
        <w:rPr>
          <w:rFonts w:ascii="Arial" w:eastAsia="Calibri" w:hAnsi="Arial" w:cs="Arial"/>
          <w:b/>
          <w:bCs/>
          <w:sz w:val="24"/>
        </w:rPr>
        <w:t>MultiRx</w:t>
      </w:r>
      <w:proofErr w:type="spellEnd"/>
      <w:r w:rsidR="004D713B">
        <w:rPr>
          <w:rFonts w:ascii="Arial" w:eastAsia="Calibri" w:hAnsi="Arial" w:cs="Arial"/>
          <w:b/>
          <w:bCs/>
          <w:sz w:val="24"/>
        </w:rPr>
        <w:t xml:space="preserve"> </w:t>
      </w:r>
      <w:r w:rsidR="00900206">
        <w:rPr>
          <w:rFonts w:ascii="Arial" w:eastAsia="Calibri" w:hAnsi="Arial" w:cs="Arial"/>
          <w:b/>
          <w:bCs/>
          <w:sz w:val="24"/>
        </w:rPr>
        <w:t xml:space="preserve">TCI state switching </w:t>
      </w:r>
      <w:r w:rsidR="004D713B">
        <w:rPr>
          <w:rFonts w:ascii="Arial" w:eastAsia="Calibri" w:hAnsi="Arial" w:cs="Arial"/>
          <w:b/>
          <w:bCs/>
          <w:sz w:val="24"/>
        </w:rPr>
        <w:t>requirements</w:t>
      </w:r>
    </w:p>
    <w:p w14:paraId="0198D9C1" w14:textId="22A5A548" w:rsidR="00841BCD" w:rsidRPr="00BE3CA8" w:rsidRDefault="00841BCD" w:rsidP="00841BCD">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B9257C" w:rsidRPr="00B9257C">
        <w:rPr>
          <w:rFonts w:ascii="Arial" w:eastAsia="MS Mincho" w:hAnsi="Arial" w:cs="Arial"/>
          <w:b/>
          <w:bCs/>
          <w:sz w:val="24"/>
          <w:szCs w:val="20"/>
        </w:rPr>
        <w:t>5.8.3.5</w:t>
      </w:r>
    </w:p>
    <w:p w14:paraId="27BA4F08" w14:textId="3A727D26" w:rsidR="00E323E9" w:rsidRDefault="00841BCD" w:rsidP="00841BCD">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r>
      <w:r w:rsidR="00AE6D09" w:rsidRPr="00BE3CA8">
        <w:rPr>
          <w:rFonts w:ascii="Arial" w:eastAsia="Calibri" w:hAnsi="Arial" w:cs="Arial"/>
          <w:b/>
          <w:bCs/>
          <w:sz w:val="24"/>
        </w:rPr>
        <w:t>Discussion</w:t>
      </w:r>
    </w:p>
    <w:p w14:paraId="740B36B6" w14:textId="77777777" w:rsidR="000830E9" w:rsidRPr="00EF698B" w:rsidRDefault="000830E9" w:rsidP="00841BCD">
      <w:pPr>
        <w:tabs>
          <w:tab w:val="left" w:pos="1985"/>
        </w:tabs>
        <w:rPr>
          <w:rFonts w:ascii="Arial" w:eastAsia="Calibri" w:hAnsi="Arial" w:cs="Arial"/>
          <w:b/>
          <w:bCs/>
          <w:sz w:val="24"/>
        </w:rPr>
      </w:pPr>
    </w:p>
    <w:p w14:paraId="31769B8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EBEDF84" w14:textId="5EE0EE89" w:rsidR="00A546B9" w:rsidRDefault="00E5759B" w:rsidP="00A546B9">
      <w:r>
        <w:t xml:space="preserve">In RAN4#106 meeting, the following was agreed related to TCI state switching requirements for </w:t>
      </w:r>
      <w:proofErr w:type="spellStart"/>
      <w:r>
        <w:t>MultiRx</w:t>
      </w:r>
      <w:proofErr w:type="spellEnd"/>
      <w:r>
        <w:t xml:space="preserve"> chain reception</w:t>
      </w:r>
      <w:r w:rsidR="007A0DEB">
        <w:t xml:space="preserve"> </w:t>
      </w:r>
      <w:r w:rsidR="00DD1F87">
        <w:fldChar w:fldCharType="begin"/>
      </w:r>
      <w:r w:rsidR="00DD1F87">
        <w:instrText xml:space="preserve"> REF _Ref127350893 \r \h </w:instrText>
      </w:r>
      <w:r w:rsidR="00DD1F87">
        <w:fldChar w:fldCharType="separate"/>
      </w:r>
      <w:r w:rsidR="00DD1F87">
        <w:t>[1]</w:t>
      </w:r>
      <w:r w:rsidR="00DD1F87">
        <w:fldChar w:fldCharType="end"/>
      </w:r>
      <w:r>
        <w:t>:</w:t>
      </w:r>
    </w:p>
    <w:p w14:paraId="56A1E5E7" w14:textId="77777777" w:rsidR="00E5759B" w:rsidRPr="00E5759B" w:rsidRDefault="00E5759B" w:rsidP="00E5759B">
      <w:pPr>
        <w:numPr>
          <w:ilvl w:val="0"/>
          <w:numId w:val="36"/>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lang w:val="en-GB"/>
        </w:rPr>
        <w:t>Agreements in online session</w:t>
      </w:r>
    </w:p>
    <w:p w14:paraId="1BFDA8AF" w14:textId="77777777" w:rsidR="00E5759B" w:rsidRPr="00E5759B" w:rsidRDefault="00E5759B" w:rsidP="00E5759B">
      <w:pPr>
        <w:numPr>
          <w:ilvl w:val="0"/>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Group Based Reporting and s/</w:t>
      </w:r>
      <w:proofErr w:type="spellStart"/>
      <w:r w:rsidRPr="00E5759B">
        <w:rPr>
          <w:rFonts w:eastAsia="Times New Roman" w:cs="Times New Roman"/>
          <w:szCs w:val="20"/>
          <w:highlight w:val="green"/>
          <w:lang w:val="en-GB"/>
        </w:rPr>
        <w:t>mDCI</w:t>
      </w:r>
      <w:proofErr w:type="spellEnd"/>
    </w:p>
    <w:p w14:paraId="6D3D0C46" w14:textId="77777777" w:rsidR="00E5759B" w:rsidRPr="00E5759B" w:rsidRDefault="00E5759B" w:rsidP="00E5759B">
      <w:pPr>
        <w:numPr>
          <w:ilvl w:val="1"/>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color w:val="000000"/>
          <w:szCs w:val="20"/>
          <w:highlight w:val="green"/>
          <w:lang w:val="en-GB"/>
        </w:rPr>
        <w:t xml:space="preserve">Group based reporting applies to both </w:t>
      </w:r>
      <w:proofErr w:type="spellStart"/>
      <w:r w:rsidRPr="00E5759B">
        <w:rPr>
          <w:rFonts w:eastAsia="Times New Roman" w:cs="Times New Roman"/>
          <w:color w:val="000000"/>
          <w:szCs w:val="20"/>
          <w:highlight w:val="green"/>
          <w:lang w:val="en-GB"/>
        </w:rPr>
        <w:t>sDCI</w:t>
      </w:r>
      <w:proofErr w:type="spellEnd"/>
      <w:r w:rsidRPr="00E5759B">
        <w:rPr>
          <w:rFonts w:eastAsia="Times New Roman" w:cs="Times New Roman"/>
          <w:color w:val="000000"/>
          <w:szCs w:val="20"/>
          <w:highlight w:val="green"/>
          <w:lang w:val="en-GB"/>
        </w:rPr>
        <w:t xml:space="preserve"> and </w:t>
      </w:r>
      <w:proofErr w:type="spellStart"/>
      <w:r w:rsidRPr="00E5759B">
        <w:rPr>
          <w:rFonts w:eastAsia="Times New Roman" w:cs="Times New Roman"/>
          <w:color w:val="000000"/>
          <w:szCs w:val="20"/>
          <w:highlight w:val="green"/>
          <w:lang w:val="en-GB"/>
        </w:rPr>
        <w:t>mDCI</w:t>
      </w:r>
      <w:proofErr w:type="spellEnd"/>
    </w:p>
    <w:p w14:paraId="5A0CDD4D" w14:textId="77777777" w:rsidR="00E5759B" w:rsidRPr="00E5759B" w:rsidRDefault="00E5759B" w:rsidP="00E5759B">
      <w:pPr>
        <w:numPr>
          <w:ilvl w:val="0"/>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Investigate and if needed specify requirements for the following TCI state switching scenarios</w:t>
      </w:r>
    </w:p>
    <w:p w14:paraId="3A92C730" w14:textId="77777777" w:rsidR="00E5759B" w:rsidRPr="00E5759B" w:rsidRDefault="00E5759B" w:rsidP="00E5759B">
      <w:pPr>
        <w:numPr>
          <w:ilvl w:val="1"/>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single TCI to dual TCI</w:t>
      </w:r>
    </w:p>
    <w:p w14:paraId="2BF04BB7" w14:textId="77777777" w:rsidR="00E5759B" w:rsidRPr="00E5759B" w:rsidRDefault="00E5759B" w:rsidP="00E5759B">
      <w:pPr>
        <w:numPr>
          <w:ilvl w:val="1"/>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dual TCI to dual TCI</w:t>
      </w:r>
    </w:p>
    <w:p w14:paraId="3C9565B3" w14:textId="77777777" w:rsidR="00E5759B" w:rsidRPr="00E5759B" w:rsidRDefault="00E5759B" w:rsidP="00E5759B">
      <w:pPr>
        <w:numPr>
          <w:ilvl w:val="1"/>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dual TCI to single TCI</w:t>
      </w:r>
    </w:p>
    <w:p w14:paraId="4A6B6309" w14:textId="77777777" w:rsidR="00E5759B" w:rsidRPr="00E5759B" w:rsidRDefault="00E5759B" w:rsidP="00E5759B">
      <w:pPr>
        <w:numPr>
          <w:ilvl w:val="0"/>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TCI Switch triggering method:</w:t>
      </w:r>
    </w:p>
    <w:p w14:paraId="14C33666" w14:textId="77777777" w:rsidR="00E5759B" w:rsidRPr="00E5759B" w:rsidRDefault="00E5759B" w:rsidP="00E5759B">
      <w:pPr>
        <w:numPr>
          <w:ilvl w:val="1"/>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MAC-CE based dual TCI state switch for PDCCH reception</w:t>
      </w:r>
    </w:p>
    <w:p w14:paraId="200AB0A3" w14:textId="77777777" w:rsidR="00E5759B" w:rsidRPr="00E5759B" w:rsidRDefault="00E5759B" w:rsidP="00E5759B">
      <w:pPr>
        <w:numPr>
          <w:ilvl w:val="1"/>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DCI based dual TCI state switch for PDCSH reception</w:t>
      </w:r>
    </w:p>
    <w:p w14:paraId="55271EED" w14:textId="77777777" w:rsidR="00E5759B" w:rsidRPr="00E5759B" w:rsidRDefault="00E5759B" w:rsidP="00E5759B">
      <w:pPr>
        <w:numPr>
          <w:ilvl w:val="1"/>
          <w:numId w:val="37"/>
        </w:numPr>
        <w:spacing w:after="120" w:line="240" w:lineRule="auto"/>
        <w:jc w:val="left"/>
        <w:textAlignment w:val="center"/>
        <w:rPr>
          <w:rFonts w:ascii="Calibri" w:eastAsia="Times New Roman" w:hAnsi="Calibri" w:cs="Calibri"/>
          <w:sz w:val="22"/>
          <w:lang w:val="en-GB"/>
        </w:rPr>
      </w:pPr>
      <w:r w:rsidRPr="00E5759B">
        <w:rPr>
          <w:rFonts w:eastAsia="Times New Roman" w:cs="Times New Roman"/>
          <w:szCs w:val="20"/>
          <w:highlight w:val="green"/>
          <w:lang w:val="en-GB"/>
        </w:rPr>
        <w:t>FFS RRC triggered TCI state configuration.</w:t>
      </w:r>
    </w:p>
    <w:p w14:paraId="2ABA4FB2" w14:textId="28D3A232" w:rsidR="00E5759B" w:rsidRPr="00E5759B" w:rsidRDefault="00265F79" w:rsidP="00A546B9">
      <w:pPr>
        <w:rPr>
          <w:lang w:val="en-GB"/>
        </w:rPr>
      </w:pPr>
      <w:r>
        <w:rPr>
          <w:lang w:val="en-GB"/>
        </w:rPr>
        <w:t>In this contribution, we continue the discussion based on the newest agreements.</w:t>
      </w:r>
    </w:p>
    <w:p w14:paraId="16FD8105" w14:textId="015E5B3C" w:rsidR="003B659E" w:rsidRDefault="0022001A" w:rsidP="00AE56B1">
      <w:pPr>
        <w:pStyle w:val="RAN4H1"/>
        <w:rPr>
          <w:lang w:val="en-US"/>
        </w:rPr>
      </w:pPr>
      <w:r>
        <w:rPr>
          <w:lang w:val="en-US"/>
        </w:rPr>
        <w:t>TCI state switching scenarios</w:t>
      </w:r>
    </w:p>
    <w:p w14:paraId="1BDEBD81" w14:textId="7DF8B9E0" w:rsidR="0022001A" w:rsidRDefault="0022001A" w:rsidP="0022001A">
      <w:r>
        <w:t xml:space="preserve">Following the agreement about TCI state switching scenarios, </w:t>
      </w:r>
      <w:r w:rsidR="004A77CB">
        <w:t>we have listed the possible scenarios</w:t>
      </w:r>
      <w:r w:rsidR="00E10F0B">
        <w:t xml:space="preserve"> and our understanding of the need for </w:t>
      </w:r>
      <w:r w:rsidR="00E7150B">
        <w:t xml:space="preserve">related </w:t>
      </w:r>
      <w:r w:rsidR="00FB71D6">
        <w:t xml:space="preserve">multi Rx specific </w:t>
      </w:r>
      <w:r w:rsidR="00E7150B">
        <w:t>requirements</w:t>
      </w:r>
      <w:r w:rsidR="00BE4E72">
        <w:t xml:space="preserve"> in </w:t>
      </w:r>
      <w:r w:rsidR="00261FD8">
        <w:fldChar w:fldCharType="begin"/>
      </w:r>
      <w:r w:rsidR="00261FD8">
        <w:instrText xml:space="preserve"> REF _Ref131492795 \h </w:instrText>
      </w:r>
      <w:r w:rsidR="00261FD8">
        <w:fldChar w:fldCharType="separate"/>
      </w:r>
      <w:r w:rsidR="00261FD8">
        <w:t xml:space="preserve">Table </w:t>
      </w:r>
      <w:r w:rsidR="00261FD8">
        <w:rPr>
          <w:noProof/>
        </w:rPr>
        <w:t>1</w:t>
      </w:r>
      <w:r w:rsidR="00261FD8">
        <w:fldChar w:fldCharType="end"/>
      </w:r>
      <w:r w:rsidR="00261FD8">
        <w:t>.</w:t>
      </w:r>
    </w:p>
    <w:p w14:paraId="0767461D" w14:textId="77777777" w:rsidR="006B0B06" w:rsidRDefault="006B0B06" w:rsidP="006B0B06">
      <w:pPr>
        <w:pStyle w:val="Tablecap"/>
      </w:pPr>
      <w:bookmarkStart w:id="4" w:name="_Ref131492795"/>
      <w:r>
        <w:t xml:space="preserve">Table </w:t>
      </w:r>
      <w:fldSimple w:instr=" SEQ Table \* ARABIC ">
        <w:r>
          <w:rPr>
            <w:noProof/>
          </w:rPr>
          <w:t>1</w:t>
        </w:r>
      </w:fldSimple>
      <w:r>
        <w:t>: Requirement applicability for different TCI switching scenarios.</w:t>
      </w:r>
    </w:p>
    <w:tbl>
      <w:tblPr>
        <w:tblStyle w:val="TableGrid1"/>
        <w:tblW w:w="9776" w:type="dxa"/>
        <w:tblLook w:val="04A0" w:firstRow="1" w:lastRow="0" w:firstColumn="1" w:lastColumn="0" w:noHBand="0" w:noVBand="1"/>
      </w:tblPr>
      <w:tblGrid>
        <w:gridCol w:w="1271"/>
        <w:gridCol w:w="2126"/>
        <w:gridCol w:w="2126"/>
        <w:gridCol w:w="2126"/>
        <w:gridCol w:w="2127"/>
      </w:tblGrid>
      <w:tr w:rsidR="000A2177" w:rsidRPr="00156290" w14:paraId="6969F7B4" w14:textId="77777777" w:rsidTr="0065138E">
        <w:trPr>
          <w:trHeight w:val="704"/>
        </w:trPr>
        <w:tc>
          <w:tcPr>
            <w:tcW w:w="1271" w:type="dxa"/>
            <w:shd w:val="clear" w:color="auto" w:fill="C5E0B3" w:themeFill="accent6" w:themeFillTint="66"/>
            <w:hideMark/>
          </w:tcPr>
          <w:bookmarkEnd w:id="4"/>
          <w:p w14:paraId="32700750" w14:textId="176CFC32" w:rsidR="00156290" w:rsidRPr="00E91156" w:rsidRDefault="000A2177" w:rsidP="00E02304">
            <w:pPr>
              <w:pStyle w:val="Tablecap"/>
              <w:rPr>
                <w:rFonts w:ascii="Calibri" w:eastAsia="Times New Roman" w:hAnsi="Calibri" w:cs="Calibri"/>
                <w:b/>
                <w:color w:val="000000"/>
                <w:szCs w:val="20"/>
              </w:rPr>
            </w:pPr>
            <w:r w:rsidRPr="00610493">
              <w:rPr>
                <w:rFonts w:ascii="Calibri" w:eastAsia="Times New Roman" w:hAnsi="Calibri" w:cs="Calibri"/>
                <w:b/>
                <w:i w:val="0"/>
                <w:color w:val="000000"/>
                <w:szCs w:val="20"/>
              </w:rPr>
              <w:t>S</w:t>
            </w:r>
            <w:r w:rsidR="00156290" w:rsidRPr="00610493">
              <w:rPr>
                <w:rFonts w:ascii="Calibri" w:eastAsia="Times New Roman" w:hAnsi="Calibri" w:cs="Calibri"/>
                <w:b/>
                <w:i w:val="0"/>
                <w:color w:val="000000"/>
                <w:szCs w:val="20"/>
              </w:rPr>
              <w:t xml:space="preserve">ingle to </w:t>
            </w:r>
            <w:r w:rsidRPr="00610493">
              <w:rPr>
                <w:rFonts w:ascii="Calibri" w:eastAsia="Times New Roman" w:hAnsi="Calibri" w:cs="Calibri"/>
                <w:b/>
                <w:i w:val="0"/>
                <w:color w:val="000000"/>
                <w:szCs w:val="20"/>
              </w:rPr>
              <w:t>D</w:t>
            </w:r>
            <w:r w:rsidR="00156290" w:rsidRPr="00610493">
              <w:rPr>
                <w:rFonts w:ascii="Calibri" w:eastAsia="Times New Roman" w:hAnsi="Calibri" w:cs="Calibri"/>
                <w:b/>
                <w:i w:val="0"/>
                <w:color w:val="000000"/>
                <w:szCs w:val="20"/>
              </w:rPr>
              <w:t>ual</w:t>
            </w:r>
            <w:r w:rsidRPr="00610493">
              <w:rPr>
                <w:rFonts w:ascii="Calibri" w:eastAsia="Times New Roman" w:hAnsi="Calibri" w:cs="Calibri"/>
                <w:b/>
                <w:i w:val="0"/>
                <w:color w:val="000000"/>
                <w:szCs w:val="20"/>
              </w:rPr>
              <w:t xml:space="preserve"> TCI state switch</w:t>
            </w:r>
          </w:p>
        </w:tc>
        <w:tc>
          <w:tcPr>
            <w:tcW w:w="2126" w:type="dxa"/>
            <w:shd w:val="clear" w:color="auto" w:fill="D9D9D9" w:themeFill="background1" w:themeFillShade="D9"/>
            <w:hideMark/>
          </w:tcPr>
          <w:p w14:paraId="0ED5535E" w14:textId="77777777" w:rsidR="00156290" w:rsidRPr="00280F7A" w:rsidRDefault="00156290"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MAC CE based switching (PDCCH)</w:t>
            </w:r>
          </w:p>
        </w:tc>
        <w:tc>
          <w:tcPr>
            <w:tcW w:w="2126" w:type="dxa"/>
            <w:shd w:val="clear" w:color="auto" w:fill="D9D9D9" w:themeFill="background1" w:themeFillShade="D9"/>
            <w:hideMark/>
          </w:tcPr>
          <w:p w14:paraId="28EC05AE" w14:textId="77777777" w:rsidR="00156290" w:rsidRPr="00280F7A" w:rsidRDefault="00156290"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DCI based switching (PDSCH)</w:t>
            </w:r>
          </w:p>
        </w:tc>
        <w:tc>
          <w:tcPr>
            <w:tcW w:w="2126" w:type="dxa"/>
            <w:shd w:val="clear" w:color="auto" w:fill="D9D9D9" w:themeFill="background1" w:themeFillShade="D9"/>
            <w:hideMark/>
          </w:tcPr>
          <w:p w14:paraId="01A2B776" w14:textId="64F469B0" w:rsidR="00156290" w:rsidRPr="00280F7A" w:rsidRDefault="00156290"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 xml:space="preserve">RRC based </w:t>
            </w:r>
            <w:r w:rsidR="000A2177" w:rsidRPr="00280F7A">
              <w:rPr>
                <w:rFonts w:ascii="Calibri" w:eastAsia="Times New Roman" w:hAnsi="Calibri" w:cs="Calibri"/>
                <w:b/>
                <w:color w:val="000000"/>
                <w:szCs w:val="20"/>
              </w:rPr>
              <w:t>switching</w:t>
            </w:r>
          </w:p>
        </w:tc>
        <w:tc>
          <w:tcPr>
            <w:tcW w:w="2127" w:type="dxa"/>
            <w:shd w:val="clear" w:color="auto" w:fill="D9D9D9" w:themeFill="background1" w:themeFillShade="D9"/>
            <w:hideMark/>
          </w:tcPr>
          <w:p w14:paraId="5A64D5C6" w14:textId="77777777" w:rsidR="00156290" w:rsidRPr="00280F7A" w:rsidRDefault="00156290"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MAC CE active list update</w:t>
            </w:r>
          </w:p>
        </w:tc>
      </w:tr>
      <w:tr w:rsidR="00156290" w:rsidRPr="00156290" w14:paraId="50734113" w14:textId="77777777" w:rsidTr="00AD31FF">
        <w:trPr>
          <w:trHeight w:val="300"/>
        </w:trPr>
        <w:tc>
          <w:tcPr>
            <w:tcW w:w="1271" w:type="dxa"/>
            <w:hideMark/>
          </w:tcPr>
          <w:p w14:paraId="2150937A" w14:textId="77777777" w:rsidR="00156290" w:rsidRPr="00280F7A" w:rsidRDefault="00156290"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Single DCI</w:t>
            </w:r>
          </w:p>
        </w:tc>
        <w:tc>
          <w:tcPr>
            <w:tcW w:w="2126" w:type="dxa"/>
            <w:hideMark/>
          </w:tcPr>
          <w:p w14:paraId="2B36760E" w14:textId="280BFADB" w:rsidR="00156290" w:rsidRPr="00280F7A" w:rsidRDefault="0090113B"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6" w:type="dxa"/>
            <w:hideMark/>
          </w:tcPr>
          <w:p w14:paraId="635BBC8B" w14:textId="5E3E9A1E" w:rsidR="00156290" w:rsidRPr="00280F7A" w:rsidRDefault="00484F48"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c>
          <w:tcPr>
            <w:tcW w:w="2126" w:type="dxa"/>
            <w:hideMark/>
          </w:tcPr>
          <w:p w14:paraId="515D08F2" w14:textId="1A8D0A4A" w:rsidR="00156290" w:rsidRPr="00280F7A" w:rsidRDefault="00192069"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7" w:type="dxa"/>
            <w:hideMark/>
          </w:tcPr>
          <w:p w14:paraId="792D0DB1" w14:textId="03F1AC29" w:rsidR="00156290" w:rsidRPr="00280F7A" w:rsidRDefault="000E11F4"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r>
      <w:tr w:rsidR="00F3301B" w:rsidRPr="00156290" w14:paraId="13FE6F7F" w14:textId="77777777" w:rsidTr="00AD31FF">
        <w:trPr>
          <w:trHeight w:val="615"/>
        </w:trPr>
        <w:tc>
          <w:tcPr>
            <w:tcW w:w="1271" w:type="dxa"/>
            <w:hideMark/>
          </w:tcPr>
          <w:p w14:paraId="709466D1" w14:textId="77777777" w:rsidR="00F3301B" w:rsidRPr="00280F7A" w:rsidRDefault="00F3301B"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Single DCI SFN</w:t>
            </w:r>
          </w:p>
        </w:tc>
        <w:tc>
          <w:tcPr>
            <w:tcW w:w="2126" w:type="dxa"/>
            <w:hideMark/>
          </w:tcPr>
          <w:p w14:paraId="083955DE" w14:textId="16862B38" w:rsidR="00F3301B" w:rsidRPr="00280F7A" w:rsidRDefault="00F3301B"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c>
          <w:tcPr>
            <w:tcW w:w="2126" w:type="dxa"/>
            <w:hideMark/>
          </w:tcPr>
          <w:p w14:paraId="1A9FD588" w14:textId="5C398E38" w:rsidR="00F3301B" w:rsidRPr="00280F7A" w:rsidRDefault="00484F48"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c>
          <w:tcPr>
            <w:tcW w:w="2126" w:type="dxa"/>
            <w:hideMark/>
          </w:tcPr>
          <w:p w14:paraId="00CF7882" w14:textId="4D8A3E03" w:rsidR="00F3301B" w:rsidRPr="00280F7A" w:rsidRDefault="00F3301B"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7" w:type="dxa"/>
            <w:hideMark/>
          </w:tcPr>
          <w:p w14:paraId="324ECC40" w14:textId="56EEF25F" w:rsidR="00F3301B" w:rsidRPr="00280F7A" w:rsidRDefault="00E61212"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r>
      <w:tr w:rsidR="00F3301B" w:rsidRPr="00156290" w14:paraId="1392908F" w14:textId="77777777" w:rsidTr="00AD31FF">
        <w:trPr>
          <w:trHeight w:val="300"/>
        </w:trPr>
        <w:tc>
          <w:tcPr>
            <w:tcW w:w="1271" w:type="dxa"/>
            <w:hideMark/>
          </w:tcPr>
          <w:p w14:paraId="23081B9D" w14:textId="38DC41C0" w:rsidR="00F3301B" w:rsidRPr="00280F7A" w:rsidRDefault="00F3301B"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multi-DCI</w:t>
            </w:r>
          </w:p>
        </w:tc>
        <w:tc>
          <w:tcPr>
            <w:tcW w:w="2126" w:type="dxa"/>
            <w:hideMark/>
          </w:tcPr>
          <w:p w14:paraId="09182846" w14:textId="0BA2EEFC" w:rsidR="00F3301B" w:rsidRPr="00280F7A" w:rsidRDefault="00F3301B"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 xml:space="preserve"> </w:t>
            </w:r>
            <w:r w:rsidR="0090113B" w:rsidRPr="00265F79">
              <w:rPr>
                <w:rFonts w:ascii="Calibri" w:eastAsia="Times New Roman" w:hAnsi="Calibri" w:cs="Calibri"/>
                <w:color w:val="A6A6A6" w:themeColor="background1" w:themeShade="A6"/>
                <w:szCs w:val="20"/>
              </w:rPr>
              <w:t>Does not apply</w:t>
            </w:r>
          </w:p>
        </w:tc>
        <w:tc>
          <w:tcPr>
            <w:tcW w:w="2126" w:type="dxa"/>
            <w:hideMark/>
          </w:tcPr>
          <w:p w14:paraId="7ECDB32B" w14:textId="5F6BFC9A" w:rsidR="00F3301B" w:rsidRPr="00280F7A" w:rsidRDefault="00F3301B"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c>
          <w:tcPr>
            <w:tcW w:w="2126" w:type="dxa"/>
            <w:hideMark/>
          </w:tcPr>
          <w:p w14:paraId="345F87D9" w14:textId="77625FDA" w:rsidR="00F3301B" w:rsidRPr="00280F7A" w:rsidRDefault="00B7544C"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c>
          <w:tcPr>
            <w:tcW w:w="2127" w:type="dxa"/>
            <w:hideMark/>
          </w:tcPr>
          <w:p w14:paraId="4FEB5E6E" w14:textId="7349C7CA" w:rsidR="00F3301B" w:rsidRPr="00280F7A" w:rsidRDefault="00B254C9"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r>
      <w:tr w:rsidR="00F3301B" w:rsidRPr="00156290" w14:paraId="76D0511B" w14:textId="77777777" w:rsidTr="0065138E">
        <w:trPr>
          <w:trHeight w:val="738"/>
        </w:trPr>
        <w:tc>
          <w:tcPr>
            <w:tcW w:w="1271" w:type="dxa"/>
            <w:shd w:val="clear" w:color="auto" w:fill="C5E0B3" w:themeFill="accent6" w:themeFillTint="66"/>
            <w:hideMark/>
          </w:tcPr>
          <w:p w14:paraId="0443035F" w14:textId="224AE4C1" w:rsidR="00F3301B" w:rsidRPr="00280F7A" w:rsidRDefault="00F3301B"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Dual to Dual TCI state switch</w:t>
            </w:r>
          </w:p>
        </w:tc>
        <w:tc>
          <w:tcPr>
            <w:tcW w:w="2126" w:type="dxa"/>
            <w:shd w:val="clear" w:color="auto" w:fill="D9D9D9" w:themeFill="background1" w:themeFillShade="D9"/>
            <w:hideMark/>
          </w:tcPr>
          <w:p w14:paraId="19E516CD" w14:textId="77777777" w:rsidR="00F3301B" w:rsidRPr="00280F7A" w:rsidRDefault="00F3301B"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MAC CE based switching (PDCCH)</w:t>
            </w:r>
          </w:p>
        </w:tc>
        <w:tc>
          <w:tcPr>
            <w:tcW w:w="2126" w:type="dxa"/>
            <w:shd w:val="clear" w:color="auto" w:fill="D9D9D9" w:themeFill="background1" w:themeFillShade="D9"/>
            <w:hideMark/>
          </w:tcPr>
          <w:p w14:paraId="04A86E4C" w14:textId="77777777" w:rsidR="00F3301B" w:rsidRPr="00280F7A" w:rsidRDefault="00F3301B"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DCI based switching (PDSCH)</w:t>
            </w:r>
          </w:p>
        </w:tc>
        <w:tc>
          <w:tcPr>
            <w:tcW w:w="2126" w:type="dxa"/>
            <w:shd w:val="clear" w:color="auto" w:fill="D9D9D9" w:themeFill="background1" w:themeFillShade="D9"/>
            <w:hideMark/>
          </w:tcPr>
          <w:p w14:paraId="4C9C1973" w14:textId="6884F46D" w:rsidR="00F3301B" w:rsidRPr="00280F7A" w:rsidRDefault="00F3301B"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RRC based switching</w:t>
            </w:r>
          </w:p>
        </w:tc>
        <w:tc>
          <w:tcPr>
            <w:tcW w:w="2127" w:type="dxa"/>
            <w:shd w:val="clear" w:color="auto" w:fill="D9D9D9" w:themeFill="background1" w:themeFillShade="D9"/>
            <w:hideMark/>
          </w:tcPr>
          <w:p w14:paraId="1B892154" w14:textId="77777777" w:rsidR="00F3301B" w:rsidRPr="00280F7A" w:rsidRDefault="00F3301B" w:rsidP="00156290">
            <w:pPr>
              <w:jc w:val="left"/>
              <w:rPr>
                <w:rFonts w:ascii="Calibri" w:eastAsia="Times New Roman" w:hAnsi="Calibri" w:cs="Calibri"/>
                <w:b/>
                <w:color w:val="000000"/>
                <w:szCs w:val="20"/>
              </w:rPr>
            </w:pPr>
            <w:r w:rsidRPr="00280F7A">
              <w:rPr>
                <w:rFonts w:ascii="Calibri" w:eastAsia="Times New Roman" w:hAnsi="Calibri" w:cs="Calibri"/>
                <w:b/>
                <w:color w:val="000000"/>
                <w:szCs w:val="20"/>
              </w:rPr>
              <w:t>MAC CE active list update</w:t>
            </w:r>
          </w:p>
        </w:tc>
      </w:tr>
      <w:tr w:rsidR="00F3301B" w:rsidRPr="00156290" w14:paraId="38608346" w14:textId="77777777" w:rsidTr="00AD31FF">
        <w:trPr>
          <w:trHeight w:val="300"/>
        </w:trPr>
        <w:tc>
          <w:tcPr>
            <w:tcW w:w="1271" w:type="dxa"/>
            <w:hideMark/>
          </w:tcPr>
          <w:p w14:paraId="30C45E7D" w14:textId="77777777" w:rsidR="00F3301B" w:rsidRPr="00280F7A" w:rsidRDefault="00F3301B"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lastRenderedPageBreak/>
              <w:t>Single DCI</w:t>
            </w:r>
          </w:p>
        </w:tc>
        <w:tc>
          <w:tcPr>
            <w:tcW w:w="2126" w:type="dxa"/>
            <w:hideMark/>
          </w:tcPr>
          <w:p w14:paraId="7869A79D" w14:textId="0604B66A" w:rsidR="00F3301B" w:rsidRPr="00280F7A" w:rsidRDefault="00646539"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6" w:type="dxa"/>
            <w:hideMark/>
          </w:tcPr>
          <w:p w14:paraId="085039CF" w14:textId="2B34F90B" w:rsidR="00F3301B" w:rsidRPr="00280F7A" w:rsidRDefault="000F45EB"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L</w:t>
            </w:r>
            <w:r w:rsidR="00E930D0" w:rsidRPr="00280F7A">
              <w:rPr>
                <w:rFonts w:ascii="Calibri" w:eastAsia="Times New Roman" w:hAnsi="Calibri" w:cs="Calibri"/>
                <w:color w:val="000000"/>
                <w:szCs w:val="20"/>
              </w:rPr>
              <w:t>egacy requirements apply</w:t>
            </w:r>
          </w:p>
        </w:tc>
        <w:tc>
          <w:tcPr>
            <w:tcW w:w="2126" w:type="dxa"/>
            <w:hideMark/>
          </w:tcPr>
          <w:p w14:paraId="08C672C6" w14:textId="650AADF5" w:rsidR="00F3301B" w:rsidRPr="00280F7A" w:rsidRDefault="00177251"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7" w:type="dxa"/>
            <w:hideMark/>
          </w:tcPr>
          <w:p w14:paraId="402DCEBA" w14:textId="0084049A" w:rsidR="00F3301B" w:rsidRPr="00280F7A" w:rsidRDefault="00F54F09" w:rsidP="00156290">
            <w:pPr>
              <w:jc w:val="left"/>
              <w:rPr>
                <w:rFonts w:ascii="Calibri" w:eastAsia="Times New Roman" w:hAnsi="Calibri" w:cs="Calibri"/>
                <w:color w:val="4472C4" w:themeColor="accent1"/>
                <w:szCs w:val="20"/>
              </w:rPr>
            </w:pPr>
            <w:r w:rsidRPr="00280F7A">
              <w:rPr>
                <w:rFonts w:ascii="Calibri" w:eastAsia="Times New Roman" w:hAnsi="Calibri" w:cs="Calibri"/>
                <w:color w:val="4472C4" w:themeColor="accent1"/>
                <w:szCs w:val="20"/>
              </w:rPr>
              <w:t>Multi Rx specific requirements needed</w:t>
            </w:r>
          </w:p>
        </w:tc>
      </w:tr>
      <w:tr w:rsidR="00F3301B" w:rsidRPr="00156290" w14:paraId="6C31C07A" w14:textId="77777777" w:rsidTr="00AD31FF">
        <w:trPr>
          <w:trHeight w:val="615"/>
        </w:trPr>
        <w:tc>
          <w:tcPr>
            <w:tcW w:w="1271" w:type="dxa"/>
            <w:hideMark/>
          </w:tcPr>
          <w:p w14:paraId="6998D5C4" w14:textId="77777777" w:rsidR="00F3301B" w:rsidRPr="00280F7A" w:rsidRDefault="00F3301B"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Single DCI SFN</w:t>
            </w:r>
          </w:p>
        </w:tc>
        <w:tc>
          <w:tcPr>
            <w:tcW w:w="2126" w:type="dxa"/>
            <w:hideMark/>
          </w:tcPr>
          <w:p w14:paraId="274DA908" w14:textId="20AE3B80" w:rsidR="00F3301B" w:rsidRPr="00280F7A" w:rsidRDefault="00177251"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c>
          <w:tcPr>
            <w:tcW w:w="2126" w:type="dxa"/>
            <w:hideMark/>
          </w:tcPr>
          <w:p w14:paraId="695A4FCD" w14:textId="14F93ED6" w:rsidR="00F3301B" w:rsidRPr="00280F7A" w:rsidRDefault="00E930D0"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c>
          <w:tcPr>
            <w:tcW w:w="2126" w:type="dxa"/>
            <w:hideMark/>
          </w:tcPr>
          <w:p w14:paraId="48B458A5" w14:textId="02EEC8B9" w:rsidR="00F3301B" w:rsidRPr="00280F7A" w:rsidRDefault="00177251"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7" w:type="dxa"/>
            <w:hideMark/>
          </w:tcPr>
          <w:p w14:paraId="49B97E5E" w14:textId="3D52F018" w:rsidR="00F3301B" w:rsidRPr="00280F7A" w:rsidRDefault="00F54F09" w:rsidP="00156290">
            <w:pPr>
              <w:jc w:val="left"/>
              <w:rPr>
                <w:rFonts w:ascii="Calibri" w:eastAsia="Times New Roman" w:hAnsi="Calibri" w:cs="Calibri"/>
                <w:color w:val="4472C4" w:themeColor="accent1"/>
                <w:szCs w:val="20"/>
              </w:rPr>
            </w:pPr>
            <w:r w:rsidRPr="00280F7A">
              <w:rPr>
                <w:rFonts w:ascii="Calibri" w:eastAsia="Times New Roman" w:hAnsi="Calibri" w:cs="Calibri"/>
                <w:color w:val="4472C4" w:themeColor="accent1"/>
                <w:szCs w:val="20"/>
              </w:rPr>
              <w:t>Multi Rx specific requirements needed</w:t>
            </w:r>
          </w:p>
        </w:tc>
      </w:tr>
      <w:tr w:rsidR="0001741D" w:rsidRPr="00156290" w14:paraId="259A0230" w14:textId="77777777" w:rsidTr="00AD31FF">
        <w:trPr>
          <w:trHeight w:val="300"/>
        </w:trPr>
        <w:tc>
          <w:tcPr>
            <w:tcW w:w="1271" w:type="dxa"/>
            <w:hideMark/>
          </w:tcPr>
          <w:p w14:paraId="4BB1EA7A" w14:textId="646F798E" w:rsidR="0001741D" w:rsidRPr="00280F7A" w:rsidRDefault="0001741D" w:rsidP="00156290">
            <w:pPr>
              <w:jc w:val="left"/>
              <w:rPr>
                <w:rFonts w:ascii="Calibri" w:eastAsia="Times New Roman" w:hAnsi="Calibri" w:cs="Calibri"/>
                <w:color w:val="000000"/>
                <w:szCs w:val="20"/>
              </w:rPr>
            </w:pPr>
            <w:r w:rsidRPr="00280F7A">
              <w:rPr>
                <w:rFonts w:ascii="Calibri" w:eastAsia="Times New Roman" w:hAnsi="Calibri" w:cs="Calibri"/>
                <w:color w:val="000000"/>
                <w:szCs w:val="20"/>
              </w:rPr>
              <w:t>multi-DCI</w:t>
            </w:r>
          </w:p>
        </w:tc>
        <w:tc>
          <w:tcPr>
            <w:tcW w:w="2126" w:type="dxa"/>
            <w:hideMark/>
          </w:tcPr>
          <w:p w14:paraId="037D225D" w14:textId="52869F79" w:rsidR="0001741D" w:rsidRPr="00280F7A" w:rsidRDefault="0001741D" w:rsidP="00156290">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6" w:type="dxa"/>
            <w:hideMark/>
          </w:tcPr>
          <w:p w14:paraId="729C0DAB" w14:textId="6E28BB1F" w:rsidR="0001741D" w:rsidRPr="00280F7A" w:rsidRDefault="00626CA0"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c>
          <w:tcPr>
            <w:tcW w:w="2126" w:type="dxa"/>
            <w:hideMark/>
          </w:tcPr>
          <w:p w14:paraId="67C548B0" w14:textId="12F6B4FC" w:rsidR="0001741D" w:rsidRPr="00280F7A" w:rsidRDefault="0001741D" w:rsidP="00156290">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c>
          <w:tcPr>
            <w:tcW w:w="2127" w:type="dxa"/>
            <w:hideMark/>
          </w:tcPr>
          <w:p w14:paraId="1682739D" w14:textId="6BA05573" w:rsidR="0001741D" w:rsidRPr="00280F7A" w:rsidRDefault="005B3510" w:rsidP="00156290">
            <w:pPr>
              <w:jc w:val="left"/>
              <w:rPr>
                <w:rFonts w:ascii="Calibri" w:eastAsia="Times New Roman" w:hAnsi="Calibri" w:cs="Calibri"/>
                <w:color w:val="4472C4" w:themeColor="accent1"/>
                <w:szCs w:val="20"/>
              </w:rPr>
            </w:pPr>
            <w:r w:rsidRPr="00265F79">
              <w:rPr>
                <w:rFonts w:ascii="Calibri" w:eastAsia="Times New Roman" w:hAnsi="Calibri" w:cs="Calibri"/>
                <w:color w:val="A6A6A6" w:themeColor="background1" w:themeShade="A6"/>
                <w:szCs w:val="20"/>
              </w:rPr>
              <w:t>Does not apply</w:t>
            </w:r>
            <w:r w:rsidRPr="00265F79" w:rsidDel="00451A9B">
              <w:rPr>
                <w:rFonts w:ascii="Calibri" w:eastAsia="Times New Roman" w:hAnsi="Calibri" w:cs="Calibri"/>
                <w:color w:val="A6A6A6" w:themeColor="background1" w:themeShade="A6"/>
                <w:szCs w:val="20"/>
              </w:rPr>
              <w:t xml:space="preserve"> </w:t>
            </w:r>
          </w:p>
        </w:tc>
      </w:tr>
      <w:tr w:rsidR="0001741D" w:rsidRPr="00156290" w14:paraId="3F8FFD12" w14:textId="77777777" w:rsidTr="0065138E">
        <w:trPr>
          <w:trHeight w:val="637"/>
        </w:trPr>
        <w:tc>
          <w:tcPr>
            <w:tcW w:w="1271" w:type="dxa"/>
            <w:shd w:val="clear" w:color="auto" w:fill="C5E0B3" w:themeFill="accent6" w:themeFillTint="66"/>
            <w:hideMark/>
          </w:tcPr>
          <w:p w14:paraId="5616CE75" w14:textId="62DA45E0" w:rsidR="0001741D" w:rsidRPr="00280F7A" w:rsidRDefault="0001741D" w:rsidP="00280F7A">
            <w:pPr>
              <w:jc w:val="left"/>
              <w:rPr>
                <w:rFonts w:ascii="Calibri" w:eastAsia="Times New Roman" w:hAnsi="Calibri" w:cs="Calibri"/>
                <w:b/>
                <w:color w:val="000000"/>
                <w:szCs w:val="20"/>
              </w:rPr>
            </w:pPr>
            <w:r w:rsidRPr="00280F7A">
              <w:rPr>
                <w:rFonts w:ascii="Calibri" w:eastAsia="Times New Roman" w:hAnsi="Calibri" w:cs="Calibri"/>
                <w:b/>
                <w:color w:val="000000"/>
                <w:szCs w:val="20"/>
              </w:rPr>
              <w:t xml:space="preserve">Dual to Single TCI </w:t>
            </w:r>
          </w:p>
        </w:tc>
        <w:tc>
          <w:tcPr>
            <w:tcW w:w="2126" w:type="dxa"/>
            <w:shd w:val="clear" w:color="auto" w:fill="D9D9D9" w:themeFill="background1" w:themeFillShade="D9"/>
            <w:hideMark/>
          </w:tcPr>
          <w:p w14:paraId="43FB5411" w14:textId="77777777" w:rsidR="0001741D" w:rsidRPr="00280F7A" w:rsidRDefault="0001741D" w:rsidP="00280F7A">
            <w:pPr>
              <w:jc w:val="left"/>
              <w:rPr>
                <w:rFonts w:ascii="Calibri" w:eastAsia="Times New Roman" w:hAnsi="Calibri" w:cs="Calibri"/>
                <w:b/>
                <w:color w:val="000000"/>
                <w:szCs w:val="20"/>
              </w:rPr>
            </w:pPr>
            <w:r w:rsidRPr="00280F7A">
              <w:rPr>
                <w:rFonts w:ascii="Calibri" w:eastAsia="Times New Roman" w:hAnsi="Calibri" w:cs="Calibri"/>
                <w:b/>
                <w:color w:val="000000"/>
                <w:szCs w:val="20"/>
              </w:rPr>
              <w:t>MAC CE based switching (PDCCH)</w:t>
            </w:r>
          </w:p>
        </w:tc>
        <w:tc>
          <w:tcPr>
            <w:tcW w:w="2126" w:type="dxa"/>
            <w:shd w:val="clear" w:color="auto" w:fill="D9D9D9" w:themeFill="background1" w:themeFillShade="D9"/>
            <w:hideMark/>
          </w:tcPr>
          <w:p w14:paraId="1BD4E9CB" w14:textId="77777777" w:rsidR="0001741D" w:rsidRPr="00280F7A" w:rsidRDefault="0001741D" w:rsidP="00280F7A">
            <w:pPr>
              <w:jc w:val="left"/>
              <w:rPr>
                <w:rFonts w:ascii="Calibri" w:eastAsia="Times New Roman" w:hAnsi="Calibri" w:cs="Calibri"/>
                <w:b/>
                <w:color w:val="000000"/>
                <w:szCs w:val="20"/>
              </w:rPr>
            </w:pPr>
            <w:r w:rsidRPr="00280F7A">
              <w:rPr>
                <w:rFonts w:ascii="Calibri" w:eastAsia="Times New Roman" w:hAnsi="Calibri" w:cs="Calibri"/>
                <w:b/>
                <w:color w:val="000000"/>
                <w:szCs w:val="20"/>
              </w:rPr>
              <w:t>DCI based switching (PDSCH)</w:t>
            </w:r>
          </w:p>
        </w:tc>
        <w:tc>
          <w:tcPr>
            <w:tcW w:w="2126" w:type="dxa"/>
            <w:shd w:val="clear" w:color="auto" w:fill="D9D9D9" w:themeFill="background1" w:themeFillShade="D9"/>
            <w:hideMark/>
          </w:tcPr>
          <w:p w14:paraId="5219CD83" w14:textId="41D27D28" w:rsidR="0001741D" w:rsidRPr="00280F7A" w:rsidRDefault="0001741D" w:rsidP="00280F7A">
            <w:pPr>
              <w:jc w:val="left"/>
              <w:rPr>
                <w:rFonts w:ascii="Calibri" w:eastAsia="Times New Roman" w:hAnsi="Calibri" w:cs="Calibri"/>
                <w:b/>
                <w:color w:val="000000"/>
                <w:szCs w:val="20"/>
              </w:rPr>
            </w:pPr>
            <w:r w:rsidRPr="00280F7A">
              <w:rPr>
                <w:rFonts w:ascii="Calibri" w:eastAsia="Times New Roman" w:hAnsi="Calibri" w:cs="Calibri"/>
                <w:b/>
                <w:color w:val="000000"/>
                <w:szCs w:val="20"/>
              </w:rPr>
              <w:t>RRC based switching</w:t>
            </w:r>
          </w:p>
        </w:tc>
        <w:tc>
          <w:tcPr>
            <w:tcW w:w="2127" w:type="dxa"/>
            <w:shd w:val="clear" w:color="auto" w:fill="D9D9D9" w:themeFill="background1" w:themeFillShade="D9"/>
            <w:hideMark/>
          </w:tcPr>
          <w:p w14:paraId="42EE0058" w14:textId="77777777" w:rsidR="0001741D" w:rsidRPr="00280F7A" w:rsidRDefault="0001741D" w:rsidP="00280F7A">
            <w:pPr>
              <w:jc w:val="left"/>
              <w:rPr>
                <w:rFonts w:ascii="Calibri" w:eastAsia="Times New Roman" w:hAnsi="Calibri" w:cs="Calibri"/>
                <w:b/>
                <w:color w:val="000000"/>
                <w:szCs w:val="20"/>
              </w:rPr>
            </w:pPr>
            <w:r w:rsidRPr="00280F7A">
              <w:rPr>
                <w:rFonts w:ascii="Calibri" w:eastAsia="Times New Roman" w:hAnsi="Calibri" w:cs="Calibri"/>
                <w:b/>
                <w:color w:val="000000"/>
                <w:szCs w:val="20"/>
              </w:rPr>
              <w:t>MAC CE active list update</w:t>
            </w:r>
          </w:p>
        </w:tc>
      </w:tr>
      <w:tr w:rsidR="0001741D" w:rsidRPr="00156290" w14:paraId="399F9334" w14:textId="77777777" w:rsidTr="00AD31FF">
        <w:trPr>
          <w:trHeight w:val="300"/>
        </w:trPr>
        <w:tc>
          <w:tcPr>
            <w:tcW w:w="1271" w:type="dxa"/>
            <w:hideMark/>
          </w:tcPr>
          <w:p w14:paraId="11EC71DC" w14:textId="77777777"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Single DCI</w:t>
            </w:r>
          </w:p>
        </w:tc>
        <w:tc>
          <w:tcPr>
            <w:tcW w:w="2126" w:type="dxa"/>
            <w:hideMark/>
          </w:tcPr>
          <w:p w14:paraId="36D8C1FD" w14:textId="06DA62B0" w:rsidR="0001741D" w:rsidRPr="00280F7A" w:rsidRDefault="0001741D" w:rsidP="00280F7A">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6" w:type="dxa"/>
            <w:hideMark/>
          </w:tcPr>
          <w:p w14:paraId="3496E22D" w14:textId="5270B44F"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c>
          <w:tcPr>
            <w:tcW w:w="2126" w:type="dxa"/>
            <w:hideMark/>
          </w:tcPr>
          <w:p w14:paraId="1B6F94F8" w14:textId="1469CAA3" w:rsidR="0001741D" w:rsidRPr="00265F79" w:rsidRDefault="00C34034" w:rsidP="00280F7A">
            <w:pPr>
              <w:jc w:val="left"/>
              <w:rPr>
                <w:rFonts w:ascii="Calibri" w:eastAsia="Times New Roman" w:hAnsi="Calibri" w:cs="Calibri"/>
                <w:color w:val="A6A6A6" w:themeColor="background1" w:themeShade="A6"/>
                <w:szCs w:val="20"/>
              </w:rPr>
            </w:pPr>
            <w:r w:rsidRPr="00265F79">
              <w:rPr>
                <w:rFonts w:ascii="Calibri" w:eastAsia="Times New Roman" w:hAnsi="Calibri" w:cs="Calibri"/>
                <w:color w:val="A6A6A6" w:themeColor="background1" w:themeShade="A6"/>
                <w:szCs w:val="20"/>
              </w:rPr>
              <w:t>Does not apply</w:t>
            </w:r>
          </w:p>
        </w:tc>
        <w:tc>
          <w:tcPr>
            <w:tcW w:w="2127" w:type="dxa"/>
            <w:hideMark/>
          </w:tcPr>
          <w:p w14:paraId="22B29F8C" w14:textId="74D4E570"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r>
      <w:tr w:rsidR="0001741D" w:rsidRPr="00156290" w14:paraId="12CC3F9D" w14:textId="77777777" w:rsidTr="00AD31FF">
        <w:trPr>
          <w:trHeight w:val="615"/>
        </w:trPr>
        <w:tc>
          <w:tcPr>
            <w:tcW w:w="1271" w:type="dxa"/>
            <w:hideMark/>
          </w:tcPr>
          <w:p w14:paraId="39DF0776" w14:textId="77777777"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Single DCI SFN</w:t>
            </w:r>
          </w:p>
        </w:tc>
        <w:tc>
          <w:tcPr>
            <w:tcW w:w="2126" w:type="dxa"/>
            <w:hideMark/>
          </w:tcPr>
          <w:p w14:paraId="3C2DFDFA" w14:textId="62108CC3"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c>
          <w:tcPr>
            <w:tcW w:w="2126" w:type="dxa"/>
            <w:hideMark/>
          </w:tcPr>
          <w:p w14:paraId="4B753DEE" w14:textId="00A758A3"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c>
          <w:tcPr>
            <w:tcW w:w="2126" w:type="dxa"/>
            <w:hideMark/>
          </w:tcPr>
          <w:p w14:paraId="6BD5B2B1" w14:textId="4F0D693C" w:rsidR="0001741D" w:rsidRPr="00265F79" w:rsidRDefault="00C34034" w:rsidP="00280F7A">
            <w:pPr>
              <w:jc w:val="left"/>
              <w:rPr>
                <w:rFonts w:ascii="Calibri" w:eastAsia="Times New Roman" w:hAnsi="Calibri" w:cs="Calibri"/>
                <w:color w:val="A6A6A6" w:themeColor="background1" w:themeShade="A6"/>
                <w:szCs w:val="20"/>
              </w:rPr>
            </w:pPr>
            <w:r w:rsidRPr="00265F79">
              <w:rPr>
                <w:rFonts w:ascii="Calibri" w:eastAsia="Times New Roman" w:hAnsi="Calibri" w:cs="Calibri"/>
                <w:color w:val="A6A6A6" w:themeColor="background1" w:themeShade="A6"/>
                <w:szCs w:val="20"/>
              </w:rPr>
              <w:t>Does not apply</w:t>
            </w:r>
          </w:p>
        </w:tc>
        <w:tc>
          <w:tcPr>
            <w:tcW w:w="2127" w:type="dxa"/>
            <w:hideMark/>
          </w:tcPr>
          <w:p w14:paraId="00352B56" w14:textId="27F253D9"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r>
      <w:tr w:rsidR="0001741D" w:rsidRPr="00156290" w14:paraId="448140BC" w14:textId="77777777" w:rsidTr="00AD31FF">
        <w:trPr>
          <w:trHeight w:val="300"/>
        </w:trPr>
        <w:tc>
          <w:tcPr>
            <w:tcW w:w="1271" w:type="dxa"/>
            <w:hideMark/>
          </w:tcPr>
          <w:p w14:paraId="40B11472" w14:textId="78CDC80A"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000000"/>
                <w:szCs w:val="20"/>
              </w:rPr>
              <w:t>multi-DCI</w:t>
            </w:r>
          </w:p>
        </w:tc>
        <w:tc>
          <w:tcPr>
            <w:tcW w:w="2126" w:type="dxa"/>
            <w:hideMark/>
          </w:tcPr>
          <w:p w14:paraId="646A3A47" w14:textId="4D97B39F" w:rsidR="0001741D" w:rsidRPr="00280F7A" w:rsidRDefault="0001741D" w:rsidP="00280F7A">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6" w:type="dxa"/>
            <w:hideMark/>
          </w:tcPr>
          <w:p w14:paraId="5A4A922E" w14:textId="5B00E38A" w:rsidR="0001741D" w:rsidRPr="00280F7A" w:rsidRDefault="0001741D" w:rsidP="00280F7A">
            <w:pPr>
              <w:jc w:val="left"/>
              <w:rPr>
                <w:rFonts w:ascii="Calibri" w:eastAsia="Times New Roman" w:hAnsi="Calibri" w:cs="Calibri"/>
                <w:color w:val="000000"/>
                <w:szCs w:val="20"/>
              </w:rPr>
            </w:pPr>
            <w:r w:rsidRPr="00265F79">
              <w:rPr>
                <w:rFonts w:ascii="Calibri" w:eastAsia="Times New Roman" w:hAnsi="Calibri" w:cs="Calibri"/>
                <w:color w:val="A6A6A6" w:themeColor="background1" w:themeShade="A6"/>
                <w:szCs w:val="20"/>
              </w:rPr>
              <w:t>Does not apply</w:t>
            </w:r>
          </w:p>
        </w:tc>
        <w:tc>
          <w:tcPr>
            <w:tcW w:w="2126" w:type="dxa"/>
            <w:hideMark/>
          </w:tcPr>
          <w:p w14:paraId="79D6C720" w14:textId="78C74AAD" w:rsidR="0001741D" w:rsidRPr="00280F7A" w:rsidRDefault="0001741D" w:rsidP="00280F7A">
            <w:pPr>
              <w:jc w:val="left"/>
              <w:rPr>
                <w:rFonts w:ascii="Calibri" w:eastAsia="Times New Roman" w:hAnsi="Calibri" w:cs="Calibri"/>
                <w:color w:val="000000"/>
                <w:szCs w:val="20"/>
              </w:rPr>
            </w:pPr>
            <w:r w:rsidRPr="00280F7A">
              <w:rPr>
                <w:rFonts w:ascii="Calibri" w:eastAsia="Times New Roman" w:hAnsi="Calibri" w:cs="Calibri"/>
                <w:color w:val="4472C4" w:themeColor="accent1"/>
                <w:szCs w:val="20"/>
              </w:rPr>
              <w:t>Multi Rx specific requirements needed</w:t>
            </w:r>
          </w:p>
        </w:tc>
        <w:tc>
          <w:tcPr>
            <w:tcW w:w="2127" w:type="dxa"/>
            <w:hideMark/>
          </w:tcPr>
          <w:p w14:paraId="3FA1FD5A" w14:textId="46425D83" w:rsidR="0001741D" w:rsidRPr="00280F7A" w:rsidRDefault="0001741D" w:rsidP="00E02304">
            <w:pPr>
              <w:keepNext/>
              <w:jc w:val="left"/>
              <w:rPr>
                <w:rFonts w:ascii="Calibri" w:eastAsia="Times New Roman" w:hAnsi="Calibri" w:cs="Calibri"/>
                <w:color w:val="000000"/>
                <w:szCs w:val="20"/>
              </w:rPr>
            </w:pPr>
            <w:r w:rsidRPr="00280F7A">
              <w:rPr>
                <w:rFonts w:ascii="Calibri" w:eastAsia="Times New Roman" w:hAnsi="Calibri" w:cs="Calibri"/>
                <w:color w:val="000000"/>
                <w:szCs w:val="20"/>
              </w:rPr>
              <w:t>Legacy requirements apply</w:t>
            </w:r>
          </w:p>
        </w:tc>
      </w:tr>
    </w:tbl>
    <w:p w14:paraId="75BDDE74" w14:textId="77777777" w:rsidR="00564707" w:rsidRPr="0022001A" w:rsidRDefault="00564707" w:rsidP="00E02304">
      <w:pPr>
        <w:pStyle w:val="Tablecap"/>
        <w:rPr>
          <w:color w:val="FF0000"/>
        </w:rPr>
      </w:pPr>
    </w:p>
    <w:p w14:paraId="1DD8CB70" w14:textId="076E11C2" w:rsidR="002E61E7" w:rsidRDefault="006678C3" w:rsidP="00667165">
      <w:bookmarkStart w:id="5" w:name="_Toc116995848"/>
      <w:r>
        <w:t xml:space="preserve">Based on the analysis in </w:t>
      </w:r>
      <w:r>
        <w:fldChar w:fldCharType="begin"/>
      </w:r>
      <w:r>
        <w:instrText xml:space="preserve"> REF _Ref131492795 \h </w:instrText>
      </w:r>
      <w:r>
        <w:fldChar w:fldCharType="separate"/>
      </w:r>
      <w:r>
        <w:t xml:space="preserve">Table </w:t>
      </w:r>
      <w:r>
        <w:rPr>
          <w:noProof/>
        </w:rPr>
        <w:t>1</w:t>
      </w:r>
      <w:r>
        <w:fldChar w:fldCharType="end"/>
      </w:r>
      <w:r w:rsidR="00A17E6F">
        <w:t>, i</w:t>
      </w:r>
      <w:r w:rsidR="003D1A59">
        <w:t xml:space="preserve">n the following sections, we discuss the </w:t>
      </w:r>
      <w:r>
        <w:t>TCI state switching scenarios for which new multi Rx specific requirements are needed.</w:t>
      </w:r>
    </w:p>
    <w:p w14:paraId="3320EA1F" w14:textId="77777777" w:rsidR="0057232C" w:rsidRDefault="0057232C" w:rsidP="0057232C">
      <w:pPr>
        <w:pStyle w:val="RAN4H1"/>
      </w:pPr>
      <w:r>
        <w:t>Known TCI state condition</w:t>
      </w:r>
    </w:p>
    <w:p w14:paraId="5B0338F0" w14:textId="77777777" w:rsidR="00D05CB8" w:rsidRDefault="00D05CB8" w:rsidP="00D05CB8">
      <w:pPr>
        <w:rPr>
          <w:lang w:eastAsia="zh-CN"/>
        </w:rPr>
      </w:pPr>
      <w:r>
        <w:t xml:space="preserve">As defined in 38.133, </w:t>
      </w:r>
      <w:r w:rsidRPr="009C5807">
        <w:rPr>
          <w:lang w:eastAsia="zh-CN"/>
        </w:rPr>
        <w:t>TCI state is known if the following conditions are met:</w:t>
      </w:r>
    </w:p>
    <w:tbl>
      <w:tblPr>
        <w:tblStyle w:val="TableGrid"/>
        <w:tblW w:w="0" w:type="auto"/>
        <w:tblInd w:w="-5" w:type="dxa"/>
        <w:tblLook w:val="04A0" w:firstRow="1" w:lastRow="0" w:firstColumn="1" w:lastColumn="0" w:noHBand="0" w:noVBand="1"/>
      </w:tblPr>
      <w:tblGrid>
        <w:gridCol w:w="9055"/>
      </w:tblGrid>
      <w:tr w:rsidR="00D05CB8" w14:paraId="344074C7" w14:textId="77777777" w:rsidTr="00327CCE">
        <w:tc>
          <w:tcPr>
            <w:tcW w:w="9055" w:type="dxa"/>
          </w:tcPr>
          <w:p w14:paraId="25AC4653" w14:textId="77777777" w:rsidR="00D05CB8" w:rsidRPr="009C5807" w:rsidRDefault="00D05CB8">
            <w:pPr>
              <w:pStyle w:val="B1"/>
              <w:ind w:left="1003" w:firstLine="0"/>
            </w:pPr>
            <w:r w:rsidRPr="009C5807">
              <w:rPr>
                <w:lang w:eastAsia="zh-CN"/>
              </w:rPr>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5D12B0A6" w14:textId="77777777" w:rsidR="00D05CB8" w:rsidRPr="009C5807" w:rsidRDefault="00D05CB8">
            <w:pPr>
              <w:pStyle w:val="B2"/>
              <w:ind w:left="1570"/>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310FA99F" w14:textId="77777777" w:rsidR="00D05CB8" w:rsidRPr="009C5807" w:rsidRDefault="00D05CB8">
            <w:pPr>
              <w:pStyle w:val="B2"/>
              <w:ind w:left="1570"/>
              <w:rPr>
                <w:lang w:eastAsia="zh-CN"/>
              </w:rPr>
            </w:pPr>
            <w:r w:rsidRPr="009C5807">
              <w:rPr>
                <w:lang w:eastAsia="zh-CN"/>
              </w:rPr>
              <w:t>-</w:t>
            </w:r>
            <w:r w:rsidRPr="009C5807">
              <w:rPr>
                <w:lang w:eastAsia="zh-CN"/>
              </w:rPr>
              <w:tab/>
              <w:t>The UE has sent at least 1 L1-RSRP report for the target TCI state before the TCI state switch command</w:t>
            </w:r>
          </w:p>
          <w:p w14:paraId="40EB0005" w14:textId="77777777" w:rsidR="00D05CB8" w:rsidRPr="009C5807" w:rsidRDefault="00D05CB8">
            <w:pPr>
              <w:pStyle w:val="B2"/>
              <w:ind w:left="1570"/>
              <w:rPr>
                <w:lang w:eastAsia="zh-CN"/>
              </w:rPr>
            </w:pPr>
            <w:r w:rsidRPr="009C5807">
              <w:rPr>
                <w:lang w:eastAsia="zh-CN"/>
              </w:rPr>
              <w:t>-</w:t>
            </w:r>
            <w:r w:rsidRPr="009C5807">
              <w:rPr>
                <w:lang w:eastAsia="zh-CN"/>
              </w:rPr>
              <w:tab/>
              <w:t>The TCI state remains detectable during the TCI state switching period</w:t>
            </w:r>
          </w:p>
          <w:p w14:paraId="126C8FB1" w14:textId="77777777" w:rsidR="00D05CB8" w:rsidRPr="009C5807" w:rsidRDefault="00D05CB8">
            <w:pPr>
              <w:pStyle w:val="B2"/>
              <w:ind w:left="1570"/>
              <w:rPr>
                <w:lang w:eastAsia="zh-CN"/>
              </w:rPr>
            </w:pPr>
            <w:r w:rsidRPr="009C5807">
              <w:rPr>
                <w:lang w:eastAsia="zh-CN"/>
              </w:rPr>
              <w:t>-</w:t>
            </w:r>
            <w:r w:rsidRPr="009C5807">
              <w:rPr>
                <w:lang w:eastAsia="zh-CN"/>
              </w:rPr>
              <w:tab/>
              <w:t>The SSB associated with the TCI state remain detectable during the TCI switching period</w:t>
            </w:r>
          </w:p>
          <w:p w14:paraId="69D144E7" w14:textId="77777777" w:rsidR="00D05CB8" w:rsidRPr="009C5807" w:rsidRDefault="00D05CB8">
            <w:pPr>
              <w:pStyle w:val="B3"/>
              <w:ind w:left="1854"/>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1C4D3653" w14:textId="77777777" w:rsidR="00D05CB8" w:rsidRDefault="00D05CB8">
            <w:pPr>
              <w:ind w:firstLine="720"/>
              <w:rPr>
                <w:rFonts w:eastAsia="Malgun Gothic"/>
                <w:lang w:eastAsia="zh-CN"/>
              </w:rPr>
            </w:pPr>
            <w:r w:rsidRPr="009C5807">
              <w:rPr>
                <w:rFonts w:eastAsia="Malgun Gothic"/>
                <w:lang w:eastAsia="zh-CN"/>
              </w:rPr>
              <w:t>Otherwise, the TCI state is unknown.</w:t>
            </w:r>
          </w:p>
          <w:p w14:paraId="5929D0EA" w14:textId="77777777" w:rsidR="00D05CB8" w:rsidRDefault="00D05CB8">
            <w:pPr>
              <w:rPr>
                <w:rFonts w:eastAsia="Malgun Gothic" w:cs="v4.2.0"/>
                <w:lang w:eastAsia="zh-CN"/>
              </w:rPr>
            </w:pPr>
          </w:p>
        </w:tc>
      </w:tr>
    </w:tbl>
    <w:p w14:paraId="27CCD2FB" w14:textId="77777777" w:rsidR="00D05CB8" w:rsidRPr="009C5807" w:rsidRDefault="00D05CB8" w:rsidP="00D05CB8">
      <w:pPr>
        <w:rPr>
          <w:rFonts w:eastAsia="Malgun Gothic" w:cs="v4.2.0"/>
          <w:lang w:eastAsia="zh-CN"/>
        </w:rPr>
      </w:pPr>
    </w:p>
    <w:p w14:paraId="77C6B51B" w14:textId="54816A96" w:rsidR="00D05CB8" w:rsidRDefault="00D05CB8" w:rsidP="00D05CB8">
      <w:pPr>
        <w:rPr>
          <w:rStyle w:val="eop"/>
          <w:szCs w:val="20"/>
        </w:rPr>
      </w:pPr>
      <w:r>
        <w:rPr>
          <w:rStyle w:val="normaltextrun"/>
          <w:szCs w:val="20"/>
        </w:rPr>
        <w:t>These conditions</w:t>
      </w:r>
      <w:r w:rsidR="008F2B4C">
        <w:rPr>
          <w:rStyle w:val="normaltextrun"/>
          <w:szCs w:val="20"/>
        </w:rPr>
        <w:t>,</w:t>
      </w:r>
      <w:r>
        <w:rPr>
          <w:rStyle w:val="normaltextrun"/>
          <w:szCs w:val="20"/>
        </w:rPr>
        <w:t xml:space="preserve"> even though currently defined for single TCI state</w:t>
      </w:r>
      <w:r w:rsidR="008F2B4C">
        <w:rPr>
          <w:rStyle w:val="normaltextrun"/>
          <w:szCs w:val="20"/>
        </w:rPr>
        <w:t>,</w:t>
      </w:r>
      <w:r>
        <w:rPr>
          <w:rStyle w:val="normaltextrun"/>
          <w:szCs w:val="20"/>
        </w:rPr>
        <w:t xml:space="preserve"> can be interpreted as being related to whether there is a valid L1-RSRP measurement for the target TCI state and if the associated RS of the target TCI state remains detectable. When considering multiple Rx chain UE, there is no difference on the interpretation of those conditions. Therefore, we do</w:t>
      </w:r>
      <w:r w:rsidR="00872950">
        <w:rPr>
          <w:rStyle w:val="normaltextrun"/>
          <w:szCs w:val="20"/>
        </w:rPr>
        <w:t xml:space="preserve"> no</w:t>
      </w:r>
      <w:r>
        <w:rPr>
          <w:rStyle w:val="normaltextrun"/>
          <w:szCs w:val="20"/>
        </w:rPr>
        <w:t>t see immediate need to change the existing conditions for dual TCI state switch compared to the single TCI state switch. </w:t>
      </w:r>
      <w:r>
        <w:rPr>
          <w:rStyle w:val="eop"/>
          <w:szCs w:val="20"/>
        </w:rPr>
        <w:t> </w:t>
      </w:r>
    </w:p>
    <w:p w14:paraId="1D1EC96B" w14:textId="50B6FE8D" w:rsidR="00D05CB8" w:rsidRPr="00B45AAA" w:rsidRDefault="00D05CB8" w:rsidP="00D05CB8">
      <w:pPr>
        <w:pStyle w:val="RAN4observation0"/>
        <w:numPr>
          <w:ilvl w:val="0"/>
          <w:numId w:val="11"/>
        </w:numPr>
        <w:ind w:left="0" w:firstLine="0"/>
        <w:jc w:val="left"/>
        <w:rPr>
          <w:bCs/>
        </w:rPr>
      </w:pPr>
      <w:bookmarkStart w:id="6" w:name="_Toc127557115"/>
      <w:bookmarkStart w:id="7" w:name="_Toc132016551"/>
      <w:r w:rsidRPr="00B45AAA">
        <w:t xml:space="preserve">The </w:t>
      </w:r>
      <w:r>
        <w:t xml:space="preserve">existing </w:t>
      </w:r>
      <w:r w:rsidRPr="00B45AAA">
        <w:t>conditions defined for a target TCI state to be known are based on whether the UE has reported a valid L</w:t>
      </w:r>
      <w:r>
        <w:t>1</w:t>
      </w:r>
      <w:r w:rsidRPr="00B45AAA">
        <w:t>-RSRP measurement for the target TCI state</w:t>
      </w:r>
      <w:r w:rsidR="00C80E9A">
        <w:t>,</w:t>
      </w:r>
      <w:r w:rsidRPr="00B45AAA">
        <w:t xml:space="preserve"> and reference signal associated with the TCI state is detectable during the switching period.</w:t>
      </w:r>
      <w:bookmarkEnd w:id="6"/>
      <w:bookmarkEnd w:id="7"/>
    </w:p>
    <w:p w14:paraId="795453D4" w14:textId="029E6F3F" w:rsidR="0057232C" w:rsidRDefault="00A23CA8" w:rsidP="00DE7A58">
      <w:pPr>
        <w:pStyle w:val="RAN4proposal"/>
      </w:pPr>
      <w:bookmarkStart w:id="8" w:name="_Toc132016552"/>
      <w:r>
        <w:t xml:space="preserve">The existing </w:t>
      </w:r>
      <w:r w:rsidR="00EC5D0D">
        <w:t xml:space="preserve">conditions for determining a known TCI state </w:t>
      </w:r>
      <w:r w:rsidR="00697C5B">
        <w:t xml:space="preserve">which have been defined for a single TCI state switch </w:t>
      </w:r>
      <w:r w:rsidR="00EC5D0D">
        <w:t>can be re</w:t>
      </w:r>
      <w:r w:rsidR="00A90703">
        <w:t xml:space="preserve">-used </w:t>
      </w:r>
      <w:r w:rsidR="006A585F">
        <w:t>for dual TCI state switch</w:t>
      </w:r>
      <w:r w:rsidR="00697C5B">
        <w:t>.</w:t>
      </w:r>
      <w:bookmarkEnd w:id="8"/>
    </w:p>
    <w:p w14:paraId="251DBC18" w14:textId="7C2385D3" w:rsidR="0022001A" w:rsidRDefault="0022001A" w:rsidP="0022001A">
      <w:pPr>
        <w:pStyle w:val="RAN4H1"/>
      </w:pPr>
      <w:r>
        <w:lastRenderedPageBreak/>
        <w:t>DCI based TCI state switching</w:t>
      </w:r>
    </w:p>
    <w:p w14:paraId="09BC653C" w14:textId="787A3753" w:rsidR="00F2312B" w:rsidRPr="00A133F2" w:rsidRDefault="00E52782" w:rsidP="00211257">
      <w:pPr>
        <w:rPr>
          <w:b/>
          <w:bCs/>
          <w:i/>
          <w:iCs/>
          <w:u w:val="single"/>
          <w:lang w:val="en-GB"/>
        </w:rPr>
      </w:pPr>
      <w:r w:rsidRPr="00E02304">
        <w:rPr>
          <w:b/>
          <w:bCs/>
          <w:i/>
          <w:iCs/>
          <w:u w:val="single"/>
          <w:lang w:val="en-GB"/>
        </w:rPr>
        <w:t>Single DCI</w:t>
      </w:r>
      <w:r w:rsidR="00F2312B" w:rsidRPr="00E02304">
        <w:rPr>
          <w:b/>
          <w:bCs/>
          <w:i/>
          <w:iCs/>
          <w:u w:val="single"/>
          <w:lang w:val="en-GB"/>
        </w:rPr>
        <w:t xml:space="preserve"> scenario</w:t>
      </w:r>
    </w:p>
    <w:p w14:paraId="57B55AE6" w14:textId="71338061" w:rsidR="007257F0" w:rsidRPr="00D7045A" w:rsidRDefault="007257F0" w:rsidP="00211257">
      <w:pPr>
        <w:rPr>
          <w:rStyle w:val="eop"/>
          <w:highlight w:val="yellow"/>
        </w:rPr>
      </w:pPr>
      <w:r>
        <w:rPr>
          <w:lang w:val="en-GB"/>
        </w:rPr>
        <w:t xml:space="preserve">A switch from single TCI </w:t>
      </w:r>
      <w:r w:rsidRPr="00D7045A">
        <w:rPr>
          <w:lang w:val="en-GB"/>
        </w:rPr>
        <w:t>to dual TCI for PDSCH can occur in s-DCI scenario</w:t>
      </w:r>
      <w:r w:rsidR="00336047">
        <w:rPr>
          <w:lang w:val="en-GB"/>
        </w:rPr>
        <w:t xml:space="preserve"> (SFN and non-SFN)</w:t>
      </w:r>
      <w:r w:rsidRPr="00D7045A">
        <w:rPr>
          <w:lang w:val="en-GB"/>
        </w:rPr>
        <w:t xml:space="preserve">. </w:t>
      </w:r>
      <w:r w:rsidRPr="00D7045A">
        <w:rPr>
          <w:rStyle w:val="eop"/>
        </w:rPr>
        <w:t xml:space="preserve">Here, a single DCI is used to indicate the target TCI states. </w:t>
      </w:r>
    </w:p>
    <w:p w14:paraId="636D0DE2" w14:textId="6D1F9982" w:rsidR="007257F0" w:rsidRPr="00431EFB" w:rsidRDefault="007257F0" w:rsidP="00211257">
      <w:pPr>
        <w:rPr>
          <w:rStyle w:val="eop"/>
        </w:rPr>
      </w:pPr>
      <w:r>
        <w:t xml:space="preserve">Taking the current DCI based TCI state switching requirements in case of single TRP as a baseline, both the target TCI states </w:t>
      </w:r>
      <w:r w:rsidR="00C05192">
        <w:t>being</w:t>
      </w:r>
      <w:r>
        <w:t xml:space="preserve"> known should be a pre-requisite for DCI based TCI state switching in case of s-DCI </w:t>
      </w:r>
      <w:r w:rsidRPr="006F6330">
        <w:t xml:space="preserve">scenarios. </w:t>
      </w:r>
      <w:r w:rsidRPr="006F6330">
        <w:rPr>
          <w:rStyle w:val="eop"/>
        </w:rPr>
        <w:t xml:space="preserve">Additionally, RAN1 </w:t>
      </w:r>
      <w:r w:rsidR="00B67111">
        <w:rPr>
          <w:rStyle w:val="eop"/>
        </w:rPr>
        <w:t xml:space="preserve">has </w:t>
      </w:r>
      <w:r w:rsidRPr="006F6330">
        <w:rPr>
          <w:rStyle w:val="eop"/>
        </w:rPr>
        <w:t xml:space="preserve">already clearly specified that TCI switching is related to the </w:t>
      </w:r>
      <w:proofErr w:type="spellStart"/>
      <w:r w:rsidRPr="006F6330">
        <w:t>timeDurationForQCL</w:t>
      </w:r>
      <w:proofErr w:type="spellEnd"/>
      <w:r w:rsidRPr="006F6330">
        <w:t xml:space="preserve">, which means that both TCI states should be ready for receiving PDSCH after </w:t>
      </w:r>
      <w:proofErr w:type="spellStart"/>
      <w:r w:rsidRPr="006F6330">
        <w:t>timeDurationForQCL</w:t>
      </w:r>
      <w:proofErr w:type="spellEnd"/>
      <w:r w:rsidRPr="006F6330">
        <w:t>.</w:t>
      </w:r>
      <w:r w:rsidRPr="00431EFB">
        <w:t xml:space="preserve"> </w:t>
      </w:r>
    </w:p>
    <w:p w14:paraId="5FC77ED0" w14:textId="620AA8AC" w:rsidR="007257F0" w:rsidRPr="00431EFB" w:rsidRDefault="007257F0" w:rsidP="00DE7A58">
      <w:pPr>
        <w:pStyle w:val="RAN4proposal"/>
        <w:rPr>
          <w:lang w:val="en-GB"/>
        </w:rPr>
      </w:pPr>
      <w:bookmarkStart w:id="9" w:name="_Toc130913543"/>
      <w:bookmarkStart w:id="10" w:name="_Toc132016553"/>
      <w:r w:rsidRPr="00431EFB">
        <w:t>Both target TCI states need to be known in order to use the requirements with known conditions for DCI based TCI switching in single DCI scenario</w:t>
      </w:r>
      <w:bookmarkEnd w:id="9"/>
      <w:r w:rsidR="00CC7E97">
        <w:t>.</w:t>
      </w:r>
      <w:bookmarkEnd w:id="10"/>
    </w:p>
    <w:p w14:paraId="5282EC15" w14:textId="3755FAC5" w:rsidR="007257F0" w:rsidRPr="007257F0" w:rsidRDefault="003B19AF" w:rsidP="003B19AF">
      <w:pPr>
        <w:pStyle w:val="RAN4proposal"/>
        <w:rPr>
          <w:lang w:val="en-GB"/>
        </w:rPr>
      </w:pPr>
      <w:bookmarkStart w:id="11" w:name="_Toc132016554"/>
      <w:r>
        <w:t xml:space="preserve">RAN4 to reuse Rel-16 requirements for the </w:t>
      </w:r>
      <w:r w:rsidRPr="00FE3550">
        <w:t xml:space="preserve">case of </w:t>
      </w:r>
      <w:r>
        <w:t xml:space="preserve">DCI-based TCI switching for </w:t>
      </w:r>
      <w:r w:rsidRPr="00FE3550">
        <w:t>PDSCH</w:t>
      </w:r>
      <w:r>
        <w:t xml:space="preserve"> in single DCI scenario</w:t>
      </w:r>
      <w:r w:rsidR="00CC7E97">
        <w:t>.</w:t>
      </w:r>
      <w:bookmarkEnd w:id="11"/>
    </w:p>
    <w:p w14:paraId="445023B6" w14:textId="551CF23F" w:rsidR="00F2312B" w:rsidRPr="00D65BF1" w:rsidRDefault="00F2312B" w:rsidP="00211257">
      <w:pPr>
        <w:rPr>
          <w:b/>
          <w:bCs/>
          <w:i/>
          <w:iCs/>
          <w:u w:val="single"/>
        </w:rPr>
      </w:pPr>
      <w:r w:rsidRPr="00D65BF1">
        <w:rPr>
          <w:b/>
          <w:bCs/>
          <w:i/>
          <w:iCs/>
          <w:u w:val="single"/>
        </w:rPr>
        <w:t>Multi DCI scenario</w:t>
      </w:r>
    </w:p>
    <w:p w14:paraId="66B6BB7D" w14:textId="3B193C17" w:rsidR="002B2C09" w:rsidRDefault="002B2C09" w:rsidP="00211257">
      <w:r>
        <w:t xml:space="preserve">In case of multiple DCI based TCI state switching, the UE is expected to receive DCI commands for each PDSCH independently, and therefore will have </w:t>
      </w:r>
      <w:r w:rsidR="00BF5239">
        <w:t>two</w:t>
      </w:r>
      <w:r>
        <w:t xml:space="preserve"> TCI states indicated for PDCCH and </w:t>
      </w:r>
      <w:r w:rsidR="00BF5239">
        <w:t>two</w:t>
      </w:r>
      <w:r>
        <w:t xml:space="preserve"> TCI states indicated for PDSCH as in</w:t>
      </w:r>
      <w:r w:rsidR="00E95953">
        <w:t xml:space="preserve"> </w:t>
      </w:r>
      <w:r w:rsidR="00E95953">
        <w:fldChar w:fldCharType="begin"/>
      </w:r>
      <w:r w:rsidR="00E95953">
        <w:instrText xml:space="preserve"> REF _Ref131676601 \h </w:instrText>
      </w:r>
      <w:r w:rsidR="00E95953">
        <w:fldChar w:fldCharType="separate"/>
      </w:r>
      <w:r w:rsidR="00E95953">
        <w:t xml:space="preserve">Figure </w:t>
      </w:r>
      <w:r w:rsidR="00E95953">
        <w:rPr>
          <w:noProof/>
        </w:rPr>
        <w:t>1</w:t>
      </w:r>
      <w:r w:rsidR="00E95953">
        <w:fldChar w:fldCharType="end"/>
      </w:r>
      <w:r>
        <w:t xml:space="preserve">. </w:t>
      </w:r>
    </w:p>
    <w:p w14:paraId="0B439ABB" w14:textId="77777777" w:rsidR="002B2C09" w:rsidRDefault="002B2C09" w:rsidP="002B2C09">
      <w:pPr>
        <w:jc w:val="center"/>
      </w:pPr>
      <w:r w:rsidRPr="00F11E82">
        <w:rPr>
          <w:noProof/>
        </w:rPr>
        <w:drawing>
          <wp:inline distT="0" distB="0" distL="0" distR="0" wp14:anchorId="01977060" wp14:editId="29BEB99D">
            <wp:extent cx="2849059" cy="1416050"/>
            <wp:effectExtent l="19050" t="19050" r="27940" b="1270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9059" cy="1416050"/>
                    </a:xfrm>
                    <a:prstGeom prst="rect">
                      <a:avLst/>
                    </a:prstGeom>
                    <a:noFill/>
                    <a:ln w="0">
                      <a:solidFill>
                        <a:schemeClr val="tx1"/>
                      </a:solidFill>
                    </a:ln>
                  </pic:spPr>
                </pic:pic>
              </a:graphicData>
            </a:graphic>
          </wp:inline>
        </w:drawing>
      </w:r>
    </w:p>
    <w:p w14:paraId="3B93B620" w14:textId="6EED13AB" w:rsidR="002B2C09" w:rsidRDefault="002B2C09" w:rsidP="002B2C09">
      <w:pPr>
        <w:pStyle w:val="Caption"/>
        <w:rPr>
          <w:b/>
          <w:bCs/>
        </w:rPr>
      </w:pPr>
      <w:bookmarkStart w:id="12" w:name="_Ref131676601"/>
      <w:r>
        <w:t xml:space="preserve">Figure </w:t>
      </w:r>
      <w:r w:rsidR="00446530">
        <w:fldChar w:fldCharType="begin"/>
      </w:r>
      <w:r w:rsidR="00446530">
        <w:instrText xml:space="preserve"> SEQ Figure \* ARABIC </w:instrText>
      </w:r>
      <w:r w:rsidR="00446530">
        <w:fldChar w:fldCharType="separate"/>
      </w:r>
      <w:r w:rsidR="001F7AF7">
        <w:rPr>
          <w:noProof/>
        </w:rPr>
        <w:t>1</w:t>
      </w:r>
      <w:r w:rsidR="00446530">
        <w:rPr>
          <w:noProof/>
        </w:rPr>
        <w:fldChar w:fldCharType="end"/>
      </w:r>
      <w:bookmarkEnd w:id="12"/>
      <w:r w:rsidRPr="001F7050">
        <w:rPr>
          <w:bCs/>
        </w:rPr>
        <w:t xml:space="preserve">: m-DCI </w:t>
      </w:r>
      <w:r w:rsidRPr="001F7050">
        <w:rPr>
          <w:bCs/>
        </w:rPr>
        <w:tab/>
      </w:r>
    </w:p>
    <w:p w14:paraId="2CBEBA53" w14:textId="7074DCEC" w:rsidR="002B2C09" w:rsidRDefault="002B2C09" w:rsidP="002B2C09">
      <w:r>
        <w:t>If we analyze this scenario, one important TCI switching case is when DCI based TCI switching delay is considered. This could have two possible scenarios</w:t>
      </w:r>
      <w:r w:rsidR="00211EEC">
        <w:t>,</w:t>
      </w:r>
      <w:r>
        <w:t xml:space="preserve"> as illustrated in </w:t>
      </w:r>
      <w:r w:rsidR="008C3935">
        <w:t>F</w:t>
      </w:r>
      <w:r>
        <w:t xml:space="preserve">igure </w:t>
      </w:r>
      <w:r w:rsidR="5602FCA5">
        <w:t>2</w:t>
      </w:r>
      <w:r>
        <w:t xml:space="preserve">a and </w:t>
      </w:r>
      <w:r w:rsidR="008C3935">
        <w:t>F</w:t>
      </w:r>
      <w:r>
        <w:t xml:space="preserve">igure </w:t>
      </w:r>
      <w:r w:rsidR="4E1295FA">
        <w:t>2</w:t>
      </w:r>
      <w:r>
        <w:t>b</w:t>
      </w:r>
      <w:r w:rsidR="00211EEC">
        <w:t>,</w:t>
      </w:r>
      <w:r>
        <w:t xml:space="preserve"> which depend on the timing of one DCI in relation to the other.</w:t>
      </w:r>
    </w:p>
    <w:p w14:paraId="2BFECDAE" w14:textId="77777777" w:rsidR="002B2C09" w:rsidRDefault="002B2C09" w:rsidP="002B2C09">
      <w:r>
        <w:rPr>
          <w:noProof/>
        </w:rPr>
        <w:drawing>
          <wp:inline distT="0" distB="0" distL="0" distR="0" wp14:anchorId="14E3925B" wp14:editId="06F95E0C">
            <wp:extent cx="2973931" cy="1121163"/>
            <wp:effectExtent l="19050" t="19050" r="25400" b="203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4">
                      <a:extLst>
                        <a:ext uri="{28A0092B-C50C-407E-A947-70E740481C1C}">
                          <a14:useLocalDpi xmlns:a14="http://schemas.microsoft.com/office/drawing/2010/main" val="0"/>
                        </a:ext>
                      </a:extLst>
                    </a:blip>
                    <a:stretch>
                      <a:fillRect/>
                    </a:stretch>
                  </pic:blipFill>
                  <pic:spPr>
                    <a:xfrm>
                      <a:off x="0" y="0"/>
                      <a:ext cx="2973931" cy="1121163"/>
                    </a:xfrm>
                    <a:prstGeom prst="rect">
                      <a:avLst/>
                    </a:prstGeom>
                    <a:ln w="0">
                      <a:solidFill>
                        <a:schemeClr val="tx1"/>
                      </a:solidFill>
                    </a:ln>
                  </pic:spPr>
                </pic:pic>
              </a:graphicData>
            </a:graphic>
          </wp:inline>
        </w:drawing>
      </w:r>
      <w:r>
        <w:t xml:space="preserve"> </w:t>
      </w:r>
      <w:r w:rsidRPr="002E1FD0">
        <w:t xml:space="preserve"> </w:t>
      </w:r>
      <w:r>
        <w:rPr>
          <w:noProof/>
        </w:rPr>
        <w:drawing>
          <wp:inline distT="0" distB="0" distL="0" distR="0" wp14:anchorId="37176509" wp14:editId="342505BD">
            <wp:extent cx="2541196" cy="1190024"/>
            <wp:effectExtent l="19050" t="19050" r="12700" b="260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1196" cy="1190024"/>
                    </a:xfrm>
                    <a:prstGeom prst="rect">
                      <a:avLst/>
                    </a:prstGeom>
                    <a:ln w="6350">
                      <a:solidFill>
                        <a:schemeClr val="tx1"/>
                      </a:solidFill>
                    </a:ln>
                  </pic:spPr>
                </pic:pic>
              </a:graphicData>
            </a:graphic>
          </wp:inline>
        </w:drawing>
      </w:r>
    </w:p>
    <w:p w14:paraId="692569A5" w14:textId="1F57F1B7" w:rsidR="002B2C09" w:rsidRDefault="002B2C09" w:rsidP="002B2C09">
      <w:pPr>
        <w:pStyle w:val="Caption"/>
      </w:pPr>
      <w:r>
        <w:t xml:space="preserve">Figure </w:t>
      </w:r>
      <w:r w:rsidR="001F7AF7">
        <w:t>2</w:t>
      </w:r>
      <w:r>
        <w:t>a</w:t>
      </w:r>
      <w:r>
        <w:tab/>
      </w:r>
      <w:r>
        <w:tab/>
      </w:r>
      <w:r>
        <w:tab/>
      </w:r>
      <w:r>
        <w:tab/>
      </w:r>
      <w:r>
        <w:tab/>
        <w:t xml:space="preserve">Figure </w:t>
      </w:r>
      <w:r w:rsidR="001F7AF7">
        <w:t>2</w:t>
      </w:r>
      <w:r>
        <w:t>b</w:t>
      </w:r>
    </w:p>
    <w:p w14:paraId="5B52CC2F" w14:textId="349F6BED" w:rsidR="002B2C09" w:rsidRPr="00BB2975" w:rsidRDefault="002B2C09" w:rsidP="002B2C09">
      <w:r>
        <w:t xml:space="preserve">In scenario </w:t>
      </w:r>
      <w:r w:rsidR="001F7AF7">
        <w:t>2</w:t>
      </w:r>
      <w:r>
        <w:t>a</w:t>
      </w:r>
      <w:r w:rsidRPr="00BB2975">
        <w:t xml:space="preserve">, </w:t>
      </w:r>
      <w:r>
        <w:t>the DCI command</w:t>
      </w:r>
      <w:r w:rsidR="00333C2F">
        <w:t>s</w:t>
      </w:r>
      <w:r>
        <w:t xml:space="preserve"> </w:t>
      </w:r>
      <w:r w:rsidR="00333C2F">
        <w:t>are</w:t>
      </w:r>
      <w:r>
        <w:t xml:space="preserve"> received from each TRP with a time difference larger than </w:t>
      </w:r>
      <w:proofErr w:type="spellStart"/>
      <w:r>
        <w:t>timerDurationForQCL</w:t>
      </w:r>
      <w:proofErr w:type="spellEnd"/>
      <w:r>
        <w:t>. Therefore, the DCI based TCI switch for each TRP do not overlap</w:t>
      </w:r>
      <w:r w:rsidRPr="00BB2975">
        <w:t xml:space="preserve">, </w:t>
      </w:r>
      <w:r>
        <w:t xml:space="preserve">so </w:t>
      </w:r>
      <w:r w:rsidRPr="00BB2975">
        <w:t xml:space="preserve">the existing DCI based TCI switching requirements can be reused since each of these TCI state switch can be evaluated by the </w:t>
      </w:r>
      <w:r w:rsidR="00D405A2">
        <w:t xml:space="preserve"> multi </w:t>
      </w:r>
      <w:r w:rsidRPr="00BB2975">
        <w:t>Rx UE independently.</w:t>
      </w:r>
    </w:p>
    <w:p w14:paraId="127020D6" w14:textId="532A9ADB" w:rsidR="002B2C09" w:rsidRPr="00492BC6" w:rsidRDefault="002B2C09" w:rsidP="00B53B7E">
      <w:pPr>
        <w:pStyle w:val="RAN4proposal"/>
      </w:pPr>
      <w:r w:rsidRPr="00BB2975">
        <w:t xml:space="preserve"> </w:t>
      </w:r>
      <w:bookmarkStart w:id="13" w:name="_Toc130913551"/>
      <w:bookmarkStart w:id="14" w:name="_Toc132016555"/>
      <w:r w:rsidRPr="00BB2975">
        <w:t>For a UE operating in multi-DCI mode, TCI state switching applies per Rx chain independently, and thus TCI state switching delay requirements for single TRP mode can be reused per DCI</w:t>
      </w:r>
      <w:r w:rsidRPr="00492BC6">
        <w:t>.</w:t>
      </w:r>
      <w:bookmarkEnd w:id="13"/>
      <w:bookmarkEnd w:id="14"/>
    </w:p>
    <w:p w14:paraId="72A86B96" w14:textId="5D660DAD" w:rsidR="002B2C09" w:rsidRDefault="002B2C09" w:rsidP="002B2C09">
      <w:r w:rsidRPr="00876AB4">
        <w:t xml:space="preserve">The current DCI-based TCI state switching requirements have been defined assuming that the UE will at any point in time receive a single DCI indicating a target TCI state for the PDSCH. However, in case of multi-DCI, there could be a scenario where </w:t>
      </w:r>
      <w:r>
        <w:t xml:space="preserve">DCI based TCI state switch may occur for one TRP while the TCI state switch based on DCI from the </w:t>
      </w:r>
      <w:r>
        <w:lastRenderedPageBreak/>
        <w:t xml:space="preserve">other TRP is being processed i.e. TCI state for both TRPs is switched simultaneously (Figure </w:t>
      </w:r>
      <w:r w:rsidR="5F2FFA8E">
        <w:t>2</w:t>
      </w:r>
      <w:r>
        <w:t>b). The following is</w:t>
      </w:r>
      <w:r w:rsidRPr="00876AB4">
        <w:t xml:space="preserve"> stated in TS 38.214</w:t>
      </w:r>
      <w:r>
        <w:t xml:space="preserve"> about this scenario:</w:t>
      </w:r>
      <w:r w:rsidRPr="00876AB4">
        <w:t xml:space="preserve"> ‘</w:t>
      </w:r>
      <w:r w:rsidRPr="000F25A6">
        <w:rPr>
          <w:i/>
        </w:rPr>
        <w:t>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w:t>
      </w:r>
      <w:r w:rsidRPr="00876AB4">
        <w:t>’.</w:t>
      </w:r>
    </w:p>
    <w:p w14:paraId="68EF869F" w14:textId="11BF59BC" w:rsidR="002B2C09" w:rsidRDefault="002B2C09" w:rsidP="008C4C79">
      <w:r>
        <w:t xml:space="preserve">This then needs to be accordingly reflected in the </w:t>
      </w:r>
      <w:r w:rsidRPr="00876AB4">
        <w:t>DCI based TCI state switch</w:t>
      </w:r>
      <w:r>
        <w:t xml:space="preserve"> delay requirements</w:t>
      </w:r>
      <w:r w:rsidRPr="00876AB4">
        <w:t>.</w:t>
      </w:r>
      <w:r>
        <w:t xml:space="preserve"> </w:t>
      </w:r>
    </w:p>
    <w:p w14:paraId="3EE75119" w14:textId="644A6798" w:rsidR="002B2C09" w:rsidRDefault="002B2C09" w:rsidP="008C4C79">
      <w:pPr>
        <w:pStyle w:val="RAN4observation0"/>
        <w:numPr>
          <w:ilvl w:val="0"/>
          <w:numId w:val="11"/>
        </w:numPr>
        <w:ind w:left="0" w:firstLine="0"/>
        <w:jc w:val="left"/>
      </w:pPr>
      <w:bookmarkStart w:id="15" w:name="_Toc130913552"/>
      <w:bookmarkStart w:id="16" w:name="_Toc132016556"/>
      <w:r>
        <w:t xml:space="preserve">In case </w:t>
      </w:r>
      <w:r w:rsidR="008C4C79">
        <w:t>two</w:t>
      </w:r>
      <w:r>
        <w:t xml:space="preserve"> DCIs from different TRPs are received with a time distance smaller than </w:t>
      </w:r>
      <w:proofErr w:type="spellStart"/>
      <w:r>
        <w:t>timerDurationForQCL</w:t>
      </w:r>
      <w:proofErr w:type="spellEnd"/>
      <w:r>
        <w:t xml:space="preserve">, RAN1 requirements state that the UE can receive PDSCH on both TCI states when </w:t>
      </w:r>
      <w:proofErr w:type="spellStart"/>
      <w:r>
        <w:t>timerDurationForQCL</w:t>
      </w:r>
      <w:proofErr w:type="spellEnd"/>
      <w:r>
        <w:t xml:space="preserve"> has passed for both states.</w:t>
      </w:r>
      <w:bookmarkEnd w:id="15"/>
      <w:bookmarkEnd w:id="16"/>
      <w:r>
        <w:t xml:space="preserve"> </w:t>
      </w:r>
    </w:p>
    <w:p w14:paraId="1139769D" w14:textId="64A3B574" w:rsidR="0022001A" w:rsidRPr="00CE50DD" w:rsidRDefault="002B2C09" w:rsidP="0056366A">
      <w:pPr>
        <w:pStyle w:val="RAN4proposal"/>
        <w:rPr>
          <w:lang w:val="en-GB"/>
        </w:rPr>
      </w:pPr>
      <w:bookmarkStart w:id="17" w:name="_Toc130913553"/>
      <w:bookmarkStart w:id="18" w:name="_Toc132016557"/>
      <w:r>
        <w:t>In m</w:t>
      </w:r>
      <w:r w:rsidR="002D1326">
        <w:t xml:space="preserve">ulti </w:t>
      </w:r>
      <w:r>
        <w:t xml:space="preserve">DCI scenario, if DCI based TCI switch command from one TRP is received at n1, DCI state from other TRP is received at n2, and |n1-n2| &lt; </w:t>
      </w:r>
      <w:proofErr w:type="spellStart"/>
      <w:r>
        <w:t>timeDurationForQCL</w:t>
      </w:r>
      <w:proofErr w:type="spellEnd"/>
      <w:r>
        <w:t xml:space="preserve"> the UE shall be able to receive PDSCH after slot max(n1,n2)+</w:t>
      </w:r>
      <w:proofErr w:type="spellStart"/>
      <w:r>
        <w:t>timeDurationForQCL</w:t>
      </w:r>
      <w:proofErr w:type="spellEnd"/>
      <w:r>
        <w:t>.</w:t>
      </w:r>
      <w:bookmarkEnd w:id="17"/>
      <w:bookmarkEnd w:id="18"/>
    </w:p>
    <w:p w14:paraId="56EA0B30" w14:textId="79D1F58C" w:rsidR="0022001A" w:rsidRDefault="0022001A" w:rsidP="0022001A">
      <w:pPr>
        <w:pStyle w:val="RAN4H1"/>
      </w:pPr>
      <w:r>
        <w:t>MAC-CE based TCI state switching</w:t>
      </w:r>
    </w:p>
    <w:p w14:paraId="0C7523A2" w14:textId="60B58A14" w:rsidR="008F50C0" w:rsidRPr="00364D8D" w:rsidRDefault="00A274C0" w:rsidP="008F50C0">
      <w:pPr>
        <w:rPr>
          <w:b/>
          <w:i/>
          <w:u w:val="single"/>
        </w:rPr>
      </w:pPr>
      <w:r>
        <w:rPr>
          <w:b/>
          <w:i/>
          <w:u w:val="single"/>
        </w:rPr>
        <w:t xml:space="preserve">Single DCI </w:t>
      </w:r>
      <w:r w:rsidR="008F50C0" w:rsidRPr="00364D8D">
        <w:rPr>
          <w:b/>
          <w:i/>
          <w:u w:val="single"/>
        </w:rPr>
        <w:t>non-SFN</w:t>
      </w:r>
    </w:p>
    <w:p w14:paraId="04E4AAE3" w14:textId="79B13E13" w:rsidR="008F50C0" w:rsidRDefault="008F50C0" w:rsidP="008F50C0">
      <w:pPr>
        <w:rPr>
          <w:rStyle w:val="eop"/>
        </w:rPr>
      </w:pPr>
      <w:r w:rsidRPr="00BC729A">
        <w:rPr>
          <w:rStyle w:val="normaltextrun"/>
        </w:rPr>
        <w:t xml:space="preserve">Since for </w:t>
      </w:r>
      <w:r>
        <w:rPr>
          <w:rStyle w:val="normaltextrun"/>
        </w:rPr>
        <w:t>PDCCH non-SFN</w:t>
      </w:r>
      <w:r w:rsidR="006B2A5C">
        <w:rPr>
          <w:rStyle w:val="normaltextrun"/>
        </w:rPr>
        <w:t xml:space="preserve"> scenario</w:t>
      </w:r>
      <w:r>
        <w:rPr>
          <w:rStyle w:val="normaltextrun"/>
        </w:rPr>
        <w:t>,</w:t>
      </w:r>
      <w:r>
        <w:rPr>
          <w:rStyle w:val="eop"/>
        </w:rPr>
        <w:t> a MAC</w:t>
      </w:r>
      <w:r w:rsidR="00DB1805">
        <w:rPr>
          <w:rStyle w:val="eop"/>
        </w:rPr>
        <w:t>-</w:t>
      </w:r>
      <w:r>
        <w:rPr>
          <w:rStyle w:val="eop"/>
        </w:rPr>
        <w:t xml:space="preserve">CE is used to indicate a single TCI state, the existing legacy requirements can be reused. </w:t>
      </w:r>
    </w:p>
    <w:p w14:paraId="537C804F" w14:textId="5F3A65DA" w:rsidR="008F50C0" w:rsidRDefault="008F50C0" w:rsidP="008F50C0">
      <w:pPr>
        <w:pStyle w:val="RAN4observation0"/>
        <w:rPr>
          <w:rStyle w:val="eop"/>
        </w:rPr>
      </w:pPr>
      <w:bookmarkStart w:id="19" w:name="_Toc132016558"/>
      <w:r>
        <w:rPr>
          <w:rStyle w:val="eop"/>
        </w:rPr>
        <w:t>MAC</w:t>
      </w:r>
      <w:r w:rsidR="00DB1805">
        <w:rPr>
          <w:rStyle w:val="eop"/>
        </w:rPr>
        <w:t>-</w:t>
      </w:r>
      <w:r>
        <w:rPr>
          <w:rStyle w:val="eop"/>
        </w:rPr>
        <w:t xml:space="preserve">CE based TCI switch in </w:t>
      </w:r>
      <w:proofErr w:type="spellStart"/>
      <w:r>
        <w:rPr>
          <w:rStyle w:val="eop"/>
        </w:rPr>
        <w:t>sDCI</w:t>
      </w:r>
      <w:proofErr w:type="spellEnd"/>
      <w:r>
        <w:rPr>
          <w:rStyle w:val="eop"/>
        </w:rPr>
        <w:t xml:space="preserve"> with non-SFN PDCCH scenario involves only one target TCI state.</w:t>
      </w:r>
      <w:bookmarkEnd w:id="19"/>
      <w:r>
        <w:rPr>
          <w:rStyle w:val="eop"/>
        </w:rPr>
        <w:t xml:space="preserve"> </w:t>
      </w:r>
    </w:p>
    <w:p w14:paraId="6A53393A" w14:textId="611B8A16" w:rsidR="008F50C0" w:rsidRDefault="008F50C0" w:rsidP="008F50C0">
      <w:pPr>
        <w:pStyle w:val="RAN4proposal"/>
        <w:rPr>
          <w:rStyle w:val="eop"/>
        </w:rPr>
      </w:pPr>
      <w:r>
        <w:rPr>
          <w:rStyle w:val="eop"/>
        </w:rPr>
        <w:t xml:space="preserve">  </w:t>
      </w:r>
      <w:bookmarkStart w:id="20" w:name="_Toc132016559"/>
      <w:r>
        <w:rPr>
          <w:rStyle w:val="eop"/>
        </w:rPr>
        <w:t xml:space="preserve">For non-SFN based </w:t>
      </w:r>
      <w:r w:rsidR="00CE4D95">
        <w:rPr>
          <w:rStyle w:val="eop"/>
        </w:rPr>
        <w:t>MAC</w:t>
      </w:r>
      <w:r w:rsidR="00DB1805">
        <w:rPr>
          <w:rStyle w:val="eop"/>
        </w:rPr>
        <w:t>-</w:t>
      </w:r>
      <w:r w:rsidR="00CE4D95">
        <w:rPr>
          <w:rStyle w:val="eop"/>
        </w:rPr>
        <w:t xml:space="preserve">CE based </w:t>
      </w:r>
      <w:r>
        <w:rPr>
          <w:rStyle w:val="eop"/>
        </w:rPr>
        <w:t>TCI indication method for PDCCH, use legacy TCI state switching requirements for multi Rx.</w:t>
      </w:r>
      <w:bookmarkEnd w:id="20"/>
    </w:p>
    <w:p w14:paraId="18B62AD7" w14:textId="77777777" w:rsidR="00FF654E" w:rsidRPr="0041790C" w:rsidRDefault="00FF654E" w:rsidP="008F50C0">
      <w:pPr>
        <w:rPr>
          <w:b/>
          <w:bCs/>
          <w:i/>
          <w:iCs/>
          <w:u w:val="single"/>
        </w:rPr>
      </w:pPr>
      <w:r w:rsidRPr="0041790C">
        <w:rPr>
          <w:b/>
          <w:bCs/>
          <w:i/>
          <w:iCs/>
          <w:u w:val="single"/>
        </w:rPr>
        <w:t>Single DCI SFN</w:t>
      </w:r>
    </w:p>
    <w:p w14:paraId="15C760CE" w14:textId="0099F737" w:rsidR="008F50C0" w:rsidRDefault="008F50C0" w:rsidP="008F50C0">
      <w:r>
        <w:t>In the case of SFN network</w:t>
      </w:r>
      <w:r w:rsidR="00675C32">
        <w:t>,</w:t>
      </w:r>
      <w:r>
        <w:t xml:space="preserve"> for </w:t>
      </w:r>
      <w:proofErr w:type="spellStart"/>
      <w:r>
        <w:t>sDCI</w:t>
      </w:r>
      <w:proofErr w:type="spellEnd"/>
      <w:r>
        <w:t xml:space="preserve"> scenario</w:t>
      </w:r>
      <w:r w:rsidR="00AE405A">
        <w:t>,</w:t>
      </w:r>
      <w:r>
        <w:t xml:space="preserve"> the enhanced MAC CE indication is used for TCI state switching</w:t>
      </w:r>
      <w:r w:rsidR="00A3059C">
        <w:t xml:space="preserve"> (</w:t>
      </w:r>
      <w:r w:rsidR="00A3059C" w:rsidRPr="00A3059C">
        <w:t xml:space="preserve">TS 38.321, </w:t>
      </w:r>
      <w:r w:rsidR="00A3059C">
        <w:t xml:space="preserve">section </w:t>
      </w:r>
      <w:r w:rsidR="00A3059C" w:rsidRPr="00A3059C">
        <w:t>6.1.3.44</w:t>
      </w:r>
      <w:r w:rsidR="00A3059C">
        <w:t>)</w:t>
      </w:r>
      <w:r>
        <w:t xml:space="preserve">, and two target TCI states can be indicated in the same command. For this reason, the only MAC CE based TCI switch command that has more impact for the multi Rx work is in the SFN scenario. </w:t>
      </w:r>
      <w:r w:rsidR="00DE021B">
        <w:t xml:space="preserve">The enhanced MAC-CE indication applies to </w:t>
      </w:r>
      <w:r w:rsidR="00780787">
        <w:t>single to dual and dual to dual TCI state switch</w:t>
      </w:r>
      <w:r w:rsidR="004C7314">
        <w:t xml:space="preserve">. For dual to single TCI state switch, </w:t>
      </w:r>
      <w:r w:rsidR="004521A6">
        <w:t>MAC-CE PDCCH indication for one TCI state can be used and hence legacy requirements may apply.</w:t>
      </w:r>
    </w:p>
    <w:p w14:paraId="1CD9868B" w14:textId="2C659484" w:rsidR="008F50C0" w:rsidRDefault="008F50C0" w:rsidP="008F50C0">
      <w:pPr>
        <w:pStyle w:val="RAN4observation0"/>
        <w:numPr>
          <w:ilvl w:val="0"/>
          <w:numId w:val="11"/>
        </w:numPr>
        <w:ind w:left="0" w:firstLine="0"/>
        <w:jc w:val="left"/>
      </w:pPr>
      <w:bookmarkStart w:id="21" w:name="_Toc132016560"/>
      <w:r>
        <w:t>When PDCCH SFN is used</w:t>
      </w:r>
      <w:r w:rsidR="00A2118B">
        <w:t>,</w:t>
      </w:r>
      <w:r>
        <w:t xml:space="preserve"> one MAC CE is used to indicate two TCI states used for PDCCH.</w:t>
      </w:r>
      <w:bookmarkEnd w:id="21"/>
      <w:r>
        <w:t xml:space="preserve"> </w:t>
      </w:r>
    </w:p>
    <w:p w14:paraId="600B55D1" w14:textId="1173C5B9" w:rsidR="008F50C0" w:rsidRPr="005A209D" w:rsidRDefault="002C211B" w:rsidP="008F50C0">
      <w:pPr>
        <w:pStyle w:val="RAN4proposal"/>
      </w:pPr>
      <w:bookmarkStart w:id="22" w:name="_Toc132016561"/>
      <w:r>
        <w:t xml:space="preserve">For </w:t>
      </w:r>
      <w:r w:rsidR="0005731D">
        <w:t xml:space="preserve">single DCI SFN scenario, </w:t>
      </w:r>
      <w:r w:rsidR="000E15DB">
        <w:t>define re</w:t>
      </w:r>
      <w:r w:rsidR="00EC5D6B">
        <w:t xml:space="preserve">quirements for MAC-CE based TCI state switch </w:t>
      </w:r>
      <w:r w:rsidR="00CB763A">
        <w:t>to dual TCI states</w:t>
      </w:r>
      <w:r w:rsidR="00E265F7">
        <w:t>.</w:t>
      </w:r>
      <w:bookmarkEnd w:id="22"/>
    </w:p>
    <w:p w14:paraId="26776DC2" w14:textId="65471204" w:rsidR="005B2D58" w:rsidRDefault="005B2D58" w:rsidP="005B2D58">
      <w:pPr>
        <w:rPr>
          <w:lang w:eastAsia="zh-CN"/>
        </w:rPr>
      </w:pPr>
      <w:r>
        <w:t xml:space="preserve">The existing </w:t>
      </w:r>
      <w:r w:rsidR="009C5874">
        <w:t>MAC-CE based TCI state switch</w:t>
      </w:r>
      <w:r w:rsidRPr="009C5807">
        <w:t xml:space="preserve"> delay</w:t>
      </w:r>
      <w:r>
        <w:t xml:space="preserve"> requirements </w:t>
      </w:r>
      <w:r w:rsidR="00991EE7">
        <w:t>in section 8.3.10 of TS 38.133</w:t>
      </w:r>
      <w:r w:rsidR="00C65BC9">
        <w:t>,</w:t>
      </w:r>
      <w:r>
        <w:t xml:space="preserve"> where the MAC</w:t>
      </w:r>
      <w:r w:rsidR="009C5874">
        <w:t>-</w:t>
      </w:r>
      <w:r>
        <w:t>CE indication for updating active TCI state list contains a single TCI state</w:t>
      </w:r>
      <w:r w:rsidR="00C65BC9">
        <w:t>,</w:t>
      </w:r>
      <w:r>
        <w:t xml:space="preserve"> consider the </w:t>
      </w:r>
      <w:r w:rsidRPr="009C5807">
        <w:rPr>
          <w:lang w:eastAsia="zh-CN"/>
        </w:rPr>
        <w:t>time to first SSB transmission</w:t>
      </w:r>
      <w:r>
        <w:rPr>
          <w:lang w:eastAsia="zh-CN"/>
        </w:rPr>
        <w:t xml:space="preserve"> after </w:t>
      </w:r>
      <w:r w:rsidRPr="009C5807">
        <w:rPr>
          <w:lang w:eastAsia="zh-CN"/>
        </w:rPr>
        <w:t>MAC CE command is decoded by the UE</w:t>
      </w:r>
      <w:r>
        <w:rPr>
          <w:lang w:eastAsia="zh-CN"/>
        </w:rPr>
        <w:t xml:space="preserve"> (</w:t>
      </w:r>
      <w:r w:rsidRPr="00DB0635">
        <w:rPr>
          <w:rFonts w:eastAsia="Malgun Gothic"/>
          <w:lang w:eastAsia="zh-CN"/>
        </w:rPr>
        <w:t>T</w:t>
      </w:r>
      <w:r w:rsidRPr="00DB0635">
        <w:rPr>
          <w:rFonts w:eastAsia="Malgun Gothic"/>
          <w:vertAlign w:val="subscript"/>
          <w:lang w:eastAsia="zh-CN"/>
        </w:rPr>
        <w:t>first-SSB</w:t>
      </w:r>
      <w:r>
        <w:rPr>
          <w:rFonts w:eastAsia="Malgun Gothic"/>
          <w:lang w:eastAsia="zh-CN"/>
        </w:rPr>
        <w:t>)</w:t>
      </w:r>
      <w:r>
        <w:rPr>
          <w:lang w:eastAsia="zh-CN"/>
        </w:rPr>
        <w:t xml:space="preserve">. </w:t>
      </w:r>
    </w:p>
    <w:tbl>
      <w:tblPr>
        <w:tblStyle w:val="TableGrid"/>
        <w:tblW w:w="0" w:type="auto"/>
        <w:tblLook w:val="04A0" w:firstRow="1" w:lastRow="0" w:firstColumn="1" w:lastColumn="0" w:noHBand="0" w:noVBand="1"/>
      </w:tblPr>
      <w:tblGrid>
        <w:gridCol w:w="9617"/>
      </w:tblGrid>
      <w:tr w:rsidR="005B2D58" w14:paraId="4A2A3247" w14:textId="77777777">
        <w:tc>
          <w:tcPr>
            <w:tcW w:w="9617" w:type="dxa"/>
          </w:tcPr>
          <w:p w14:paraId="5BEECBD1" w14:textId="5B9CF4B1" w:rsidR="005B2D58" w:rsidRPr="00F103C0" w:rsidRDefault="005B3B02" w:rsidP="00F103C0">
            <w:pPr>
              <w:pStyle w:val="B1"/>
              <w:ind w:left="284"/>
              <w:rPr>
                <w:u w:val="single"/>
                <w:lang w:val="en-US" w:eastAsia="zh-CN"/>
              </w:rPr>
            </w:pPr>
            <w:r w:rsidRPr="00F103C0">
              <w:rPr>
                <w:u w:val="single"/>
                <w:lang w:val="en-US" w:eastAsia="zh-CN"/>
              </w:rPr>
              <w:t>When target TCI state is known:</w:t>
            </w:r>
          </w:p>
          <w:p w14:paraId="7F693653" w14:textId="77777777" w:rsidR="005B3B02" w:rsidRPr="009C5807" w:rsidRDefault="005B3B02" w:rsidP="005B3B02">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The SSB shall be the QCL-</w:t>
            </w:r>
            <w:proofErr w:type="spellStart"/>
            <w:r w:rsidRPr="009C5807">
              <w:rPr>
                <w:lang w:val="en-US" w:eastAsia="zh-CN"/>
              </w:rPr>
              <w:t>TypeA</w:t>
            </w:r>
            <w:proofErr w:type="spellEnd"/>
            <w:r w:rsidRPr="009C5807">
              <w:rPr>
                <w:lang w:val="en-US" w:eastAsia="zh-CN"/>
              </w:rPr>
              <w:t xml:space="preserve"> or QCL-</w:t>
            </w:r>
            <w:proofErr w:type="spellStart"/>
            <w:r w:rsidRPr="009C5807">
              <w:rPr>
                <w:lang w:val="en-US" w:eastAsia="zh-CN"/>
              </w:rPr>
              <w:t>TypeC</w:t>
            </w:r>
            <w:proofErr w:type="spellEnd"/>
            <w:r w:rsidRPr="009C5807">
              <w:rPr>
                <w:lang w:val="en-US" w:eastAsia="zh-CN"/>
              </w:rPr>
              <w:t xml:space="preserve"> to target TCI state</w:t>
            </w:r>
          </w:p>
          <w:p w14:paraId="4D781167" w14:textId="77777777" w:rsidR="005B3B02" w:rsidRPr="00F103C0" w:rsidRDefault="005B3B02" w:rsidP="005B3B02">
            <w:pPr>
              <w:pStyle w:val="B1"/>
              <w:ind w:left="284"/>
              <w:rPr>
                <w:u w:val="single"/>
                <w:lang w:val="en-US" w:eastAsia="zh-CN"/>
              </w:rPr>
            </w:pPr>
            <w:r w:rsidRPr="00F103C0">
              <w:rPr>
                <w:u w:val="single"/>
                <w:lang w:val="en-US" w:eastAsia="zh-CN"/>
              </w:rPr>
              <w:t>When target TCI state is unknown:</w:t>
            </w:r>
          </w:p>
          <w:p w14:paraId="1486FA74" w14:textId="77777777" w:rsidR="00DB375D" w:rsidRPr="009C5807" w:rsidRDefault="00DB375D" w:rsidP="00DB375D">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1942DDA7" w14:textId="77777777" w:rsidR="00DB375D" w:rsidRPr="009C5807" w:rsidRDefault="00DB375D" w:rsidP="00DB375D">
            <w:pPr>
              <w:pStyle w:val="B1"/>
              <w:rPr>
                <w:lang w:val="en-US" w:eastAsia="zh-CN"/>
              </w:rPr>
            </w:pPr>
            <w:r w:rsidRPr="009C5807">
              <w:rPr>
                <w:lang w:eastAsia="zh-CN"/>
              </w:rPr>
              <w:t>-</w:t>
            </w:r>
            <w:r w:rsidRPr="009C5807">
              <w:rPr>
                <w:lang w:eastAsia="zh-CN"/>
              </w:rPr>
              <w:tab/>
            </w:r>
            <w:proofErr w:type="spellStart"/>
            <w:r w:rsidRPr="009C5807">
              <w:rPr>
                <w:lang w:val="en-US" w:eastAsia="zh-CN"/>
              </w:rPr>
              <w:t>T</w:t>
            </w:r>
            <w:r w:rsidRPr="009C5807">
              <w:rPr>
                <w:vertAlign w:val="subscript"/>
                <w:lang w:val="en-US" w:eastAsia="zh-CN"/>
              </w:rPr>
              <w:t>first</w:t>
            </w:r>
            <w:proofErr w:type="spellEnd"/>
            <w:r w:rsidRPr="009C5807">
              <w:rPr>
                <w:vertAlign w:val="subscript"/>
                <w:lang w:val="en-US" w:eastAsia="zh-CN"/>
              </w:rPr>
              <w:t xml:space="preserve">-SSB </w:t>
            </w:r>
            <w:r w:rsidRPr="009C5807">
              <w:rPr>
                <w:lang w:val="en-US" w:eastAsia="zh-CN"/>
              </w:rPr>
              <w:t>is time to first SSB transmission after MAC CE command is decoded by the UE for other QCL types;</w:t>
            </w:r>
          </w:p>
          <w:p w14:paraId="353E1B46" w14:textId="19B082BD" w:rsidR="00DB375D" w:rsidRDefault="00DB375D" w:rsidP="00DB375D">
            <w:pPr>
              <w:rPr>
                <w:lang w:eastAsia="zh-CN"/>
              </w:rPr>
            </w:pPr>
            <w:r w:rsidRPr="009C5807">
              <w:rPr>
                <w:lang w:eastAsia="zh-CN"/>
              </w:rPr>
              <w:t>-</w:t>
            </w:r>
            <w:r w:rsidR="00754F63">
              <w:rPr>
                <w:lang w:eastAsia="zh-CN"/>
              </w:rPr>
              <w:t xml:space="preserve"> </w:t>
            </w:r>
            <w:r w:rsidRPr="009C5807">
              <w:rPr>
                <w:lang w:eastAsia="zh-CN"/>
              </w:rPr>
              <w:t>The SSB shall be the QCL-</w:t>
            </w:r>
            <w:proofErr w:type="spellStart"/>
            <w:r w:rsidRPr="009C5807">
              <w:rPr>
                <w:lang w:eastAsia="zh-CN"/>
              </w:rPr>
              <w:t>TypeA</w:t>
            </w:r>
            <w:proofErr w:type="spellEnd"/>
            <w:r w:rsidRPr="009C5807">
              <w:rPr>
                <w:lang w:eastAsia="zh-CN"/>
              </w:rPr>
              <w:t xml:space="preserve"> or QCL-</w:t>
            </w:r>
            <w:proofErr w:type="spellStart"/>
            <w:r w:rsidRPr="009C5807">
              <w:rPr>
                <w:lang w:eastAsia="zh-CN"/>
              </w:rPr>
              <w:t>TypeC</w:t>
            </w:r>
            <w:proofErr w:type="spellEnd"/>
            <w:r w:rsidRPr="009C5807">
              <w:rPr>
                <w:lang w:eastAsia="zh-CN"/>
              </w:rPr>
              <w:t xml:space="preserve"> to target TCI state </w:t>
            </w:r>
          </w:p>
          <w:p w14:paraId="412BD8D5" w14:textId="75801379" w:rsidR="005B2D58" w:rsidRPr="006516F2" w:rsidRDefault="005B2D58" w:rsidP="00F103C0">
            <w:pPr>
              <w:pStyle w:val="B1"/>
              <w:ind w:left="284"/>
              <w:rPr>
                <w:lang w:eastAsia="zh-CN"/>
              </w:rPr>
            </w:pPr>
          </w:p>
        </w:tc>
      </w:tr>
    </w:tbl>
    <w:p w14:paraId="4FD7B1E6" w14:textId="1A6BEB29" w:rsidR="005B2D58" w:rsidRDefault="005B2D58" w:rsidP="005B2D58">
      <w:pPr>
        <w:rPr>
          <w:lang w:eastAsia="zh-CN"/>
        </w:rPr>
      </w:pPr>
    </w:p>
    <w:p w14:paraId="20D091CF" w14:textId="2EF46696" w:rsidR="005B2D58" w:rsidRDefault="005B2D58" w:rsidP="005B2D58">
      <w:pPr>
        <w:rPr>
          <w:lang w:eastAsia="zh-CN"/>
        </w:rPr>
      </w:pPr>
      <w:r>
        <w:rPr>
          <w:lang w:eastAsia="zh-CN"/>
        </w:rPr>
        <w:t>In m-TRP deployments, when the MAC-CE contains dual TCI states, we propose to consider the first SSB for each of the TCI states.</w:t>
      </w:r>
    </w:p>
    <w:p w14:paraId="7C767016" w14:textId="3B657AC1" w:rsidR="005B2D58" w:rsidRDefault="005B2D58" w:rsidP="005B2D58">
      <w:pPr>
        <w:jc w:val="center"/>
        <w:rPr>
          <w:lang w:eastAsia="zh-CN"/>
        </w:rPr>
      </w:pPr>
      <w:r>
        <w:rPr>
          <w:noProof/>
        </w:rPr>
        <w:lastRenderedPageBreak/>
        <w:drawing>
          <wp:inline distT="0" distB="0" distL="0" distR="0" wp14:anchorId="1CB678B5" wp14:editId="1F41847C">
            <wp:extent cx="3020467" cy="1244348"/>
            <wp:effectExtent l="19050" t="19050" r="27940" b="133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26875" cy="1246988"/>
                    </a:xfrm>
                    <a:prstGeom prst="rect">
                      <a:avLst/>
                    </a:prstGeom>
                    <a:ln>
                      <a:solidFill>
                        <a:schemeClr val="tx1"/>
                      </a:solidFill>
                    </a:ln>
                  </pic:spPr>
                </pic:pic>
              </a:graphicData>
            </a:graphic>
          </wp:inline>
        </w:drawing>
      </w:r>
    </w:p>
    <w:p w14:paraId="66B6FD8B" w14:textId="5591BE28" w:rsidR="005B2D58" w:rsidRDefault="005B2D58" w:rsidP="005B2D58">
      <w:pPr>
        <w:pStyle w:val="Caption"/>
        <w:rPr>
          <w:lang w:eastAsia="zh-CN"/>
        </w:rPr>
      </w:pPr>
      <w:r>
        <w:t xml:space="preserve">Figure </w:t>
      </w:r>
      <w:r w:rsidR="00446530">
        <w:fldChar w:fldCharType="begin"/>
      </w:r>
      <w:r w:rsidR="00446530">
        <w:instrText xml:space="preserve"> SEQ Figure \* ARABIC </w:instrText>
      </w:r>
      <w:r w:rsidR="00446530">
        <w:fldChar w:fldCharType="separate"/>
      </w:r>
      <w:r w:rsidR="001F7AF7">
        <w:rPr>
          <w:noProof/>
        </w:rPr>
        <w:t>3</w:t>
      </w:r>
      <w:r w:rsidR="00446530">
        <w:rPr>
          <w:noProof/>
        </w:rPr>
        <w:fldChar w:fldCharType="end"/>
      </w:r>
      <w:r>
        <w:t>: Active TCI state list for dual TCI</w:t>
      </w:r>
    </w:p>
    <w:p w14:paraId="15299996" w14:textId="227BFFFC" w:rsidR="005B2D58" w:rsidRDefault="005B2D58" w:rsidP="00B53B7E">
      <w:pPr>
        <w:pStyle w:val="RAN4proposal"/>
      </w:pPr>
      <w:bookmarkStart w:id="23" w:name="_Toc130913549"/>
      <w:bookmarkStart w:id="24" w:name="_Toc132016562"/>
      <w:r>
        <w:t xml:space="preserve">If a pair </w:t>
      </w:r>
      <w:r w:rsidRPr="002135F4">
        <w:t>of TCI states is activated by MAC</w:t>
      </w:r>
      <w:r w:rsidR="00DB1805">
        <w:t>-</w:t>
      </w:r>
      <w:r w:rsidRPr="002135F4">
        <w:t>CE command</w:t>
      </w:r>
      <w:r w:rsidR="00E84424">
        <w:t xml:space="preserve"> in SFN scenario</w:t>
      </w:r>
      <w:r w:rsidRPr="002135F4">
        <w:t xml:space="preserve">, consider the first SSB of </w:t>
      </w:r>
      <w:r w:rsidR="00957973">
        <w:t>each</w:t>
      </w:r>
      <w:r w:rsidR="00957973" w:rsidRPr="002135F4">
        <w:t xml:space="preserve"> </w:t>
      </w:r>
      <w:r w:rsidRPr="002135F4">
        <w:t>TCI state for activation time</w:t>
      </w:r>
      <w:r>
        <w:t xml:space="preserve"> while arriving at the active TCI state list update delay requirements for dual TCI states</w:t>
      </w:r>
      <w:bookmarkEnd w:id="23"/>
      <w:bookmarkEnd w:id="24"/>
    </w:p>
    <w:p w14:paraId="650BC670" w14:textId="5A5A81F6" w:rsidR="005B2D58" w:rsidRDefault="005B2D58" w:rsidP="005B2D58">
      <w:r>
        <w:t>UE can receive a MAC</w:t>
      </w:r>
      <w:r w:rsidR="00DB1805">
        <w:t>-</w:t>
      </w:r>
      <w:r>
        <w:t xml:space="preserve">CE indication of two PDCCH TCI states in single DCI PDCCH SFN. Here, </w:t>
      </w:r>
      <w:r w:rsidR="00A30D99">
        <w:t xml:space="preserve">there could be a case where </w:t>
      </w:r>
      <w:r>
        <w:t>the UE receive</w:t>
      </w:r>
      <w:r w:rsidR="00A30D99">
        <w:t>s</w:t>
      </w:r>
      <w:r>
        <w:t xml:space="preserve"> PDCCH from one of the TCI states that is known</w:t>
      </w:r>
      <w:r w:rsidR="00EF3927">
        <w:t xml:space="preserve"> and already active</w:t>
      </w:r>
      <w:r w:rsidR="00A30D99">
        <w:t xml:space="preserve">. In such scenario, </w:t>
      </w:r>
      <w:r>
        <w:t>there is no reason to extend the delay for the TCI switching.</w:t>
      </w:r>
    </w:p>
    <w:p w14:paraId="0FC892DA" w14:textId="5AFFA785" w:rsidR="005B2D58" w:rsidRDefault="005B2D58" w:rsidP="00B53B7E">
      <w:pPr>
        <w:pStyle w:val="RAN4proposal"/>
        <w:rPr>
          <w:lang w:val="en-GB"/>
        </w:rPr>
      </w:pPr>
      <w:bookmarkStart w:id="25" w:name="_Toc130913550"/>
      <w:bookmarkStart w:id="26" w:name="_Toc132016563"/>
      <w:r w:rsidRPr="00D05C0B">
        <w:rPr>
          <w:lang w:val="en-GB"/>
        </w:rPr>
        <w:t>When the UE receives a MAC</w:t>
      </w:r>
      <w:r w:rsidR="00DB1805">
        <w:rPr>
          <w:lang w:val="en-GB"/>
        </w:rPr>
        <w:t>-</w:t>
      </w:r>
      <w:r w:rsidRPr="00D05C0B">
        <w:rPr>
          <w:lang w:val="en-GB"/>
        </w:rPr>
        <w:t xml:space="preserve">CE indication for two PDCCH TCI states, </w:t>
      </w:r>
      <w:r w:rsidR="00A30D99">
        <w:rPr>
          <w:lang w:val="en-GB"/>
        </w:rPr>
        <w:t>if</w:t>
      </w:r>
      <w:r w:rsidRPr="00D05C0B">
        <w:rPr>
          <w:lang w:val="en-GB"/>
        </w:rPr>
        <w:t xml:space="preserve"> the UE is already receiving from a PDCCH whose TCI state is known, the existing MAC-CE based TCI state switch delay requirements can be reused.</w:t>
      </w:r>
      <w:bookmarkEnd w:id="25"/>
      <w:bookmarkEnd w:id="26"/>
    </w:p>
    <w:p w14:paraId="4727E75C" w14:textId="30CB375D" w:rsidR="009722B5" w:rsidRPr="00364D8D" w:rsidRDefault="007E40A0" w:rsidP="00653F3D">
      <w:pPr>
        <w:rPr>
          <w:b/>
          <w:i/>
          <w:u w:val="single"/>
        </w:rPr>
      </w:pPr>
      <w:r>
        <w:rPr>
          <w:b/>
          <w:i/>
          <w:u w:val="single"/>
        </w:rPr>
        <w:t>Multi</w:t>
      </w:r>
      <w:r w:rsidR="00DB1805">
        <w:rPr>
          <w:b/>
          <w:i/>
          <w:u w:val="single"/>
        </w:rPr>
        <w:t>-</w:t>
      </w:r>
      <w:r>
        <w:rPr>
          <w:b/>
          <w:i/>
          <w:u w:val="single"/>
        </w:rPr>
        <w:t>DCI</w:t>
      </w:r>
    </w:p>
    <w:p w14:paraId="6EA7DA17" w14:textId="03F3D7EE" w:rsidR="007E40A0" w:rsidRDefault="006A46E3" w:rsidP="007E40A0">
      <w:r>
        <w:t>In multi</w:t>
      </w:r>
      <w:r w:rsidR="00DB1805">
        <w:t>-</w:t>
      </w:r>
      <w:r>
        <w:t xml:space="preserve">DCI scenario, </w:t>
      </w:r>
      <w:r w:rsidR="000A2D2A">
        <w:t xml:space="preserve">MAC-CE based TCI state switch </w:t>
      </w:r>
      <w:r w:rsidR="00E25E23">
        <w:t xml:space="preserve">for PDCCH </w:t>
      </w:r>
      <w:r w:rsidR="00E369F8">
        <w:t>considers only one TRP at a time</w:t>
      </w:r>
      <w:r w:rsidR="003A773E">
        <w:t xml:space="preserve"> i.e. </w:t>
      </w:r>
      <w:r w:rsidR="003C1496">
        <w:t xml:space="preserve">TCI state switch </w:t>
      </w:r>
      <w:r w:rsidR="003A773E">
        <w:t>is done separately for each TRP</w:t>
      </w:r>
      <w:r w:rsidR="000D7238">
        <w:t>. Hence, legacy requirements may apply per each TRP.</w:t>
      </w:r>
    </w:p>
    <w:p w14:paraId="06C5EC7B" w14:textId="2F5BA575" w:rsidR="0022001A" w:rsidRPr="0022001A" w:rsidRDefault="009329C0" w:rsidP="00381A48">
      <w:pPr>
        <w:pStyle w:val="RAN4proposal"/>
        <w:rPr>
          <w:lang w:val="en-GB"/>
        </w:rPr>
      </w:pPr>
      <w:bookmarkStart w:id="27" w:name="_Toc132016564"/>
      <w:r>
        <w:t>In multi</w:t>
      </w:r>
      <w:r w:rsidR="00DB1805">
        <w:t>-</w:t>
      </w:r>
      <w:r>
        <w:t xml:space="preserve">DCI scenario, </w:t>
      </w:r>
      <w:r w:rsidR="00D51C96">
        <w:t xml:space="preserve">legacy requirements for </w:t>
      </w:r>
      <w:r>
        <w:t>MAC-CE based TCI state switch for PDCCH</w:t>
      </w:r>
      <w:r w:rsidR="00D51C96">
        <w:t xml:space="preserve"> apply</w:t>
      </w:r>
      <w:r w:rsidR="003B482F">
        <w:t xml:space="preserve"> per TRP</w:t>
      </w:r>
      <w:r w:rsidR="00D51C96">
        <w:t>.</w:t>
      </w:r>
      <w:bookmarkStart w:id="28" w:name="_Toc131594377"/>
      <w:bookmarkStart w:id="29" w:name="_Toc131594559"/>
      <w:bookmarkStart w:id="30" w:name="_Toc131594378"/>
      <w:bookmarkStart w:id="31" w:name="_Toc131594560"/>
      <w:bookmarkStart w:id="32" w:name="_Toc131594379"/>
      <w:bookmarkStart w:id="33" w:name="_Toc131594561"/>
      <w:bookmarkStart w:id="34" w:name="_Toc131594380"/>
      <w:bookmarkStart w:id="35" w:name="_Toc131594562"/>
      <w:bookmarkStart w:id="36" w:name="_Toc131594381"/>
      <w:bookmarkStart w:id="37" w:name="_Toc131594563"/>
      <w:bookmarkStart w:id="38" w:name="_Toc131594382"/>
      <w:bookmarkStart w:id="39" w:name="_Toc131594564"/>
      <w:bookmarkEnd w:id="28"/>
      <w:bookmarkEnd w:id="29"/>
      <w:bookmarkEnd w:id="30"/>
      <w:bookmarkEnd w:id="31"/>
      <w:bookmarkEnd w:id="32"/>
      <w:bookmarkEnd w:id="33"/>
      <w:bookmarkEnd w:id="34"/>
      <w:bookmarkEnd w:id="35"/>
      <w:bookmarkEnd w:id="36"/>
      <w:bookmarkEnd w:id="37"/>
      <w:bookmarkEnd w:id="38"/>
      <w:bookmarkEnd w:id="39"/>
      <w:bookmarkEnd w:id="27"/>
    </w:p>
    <w:p w14:paraId="552CEF4C" w14:textId="46D641E7" w:rsidR="0022001A" w:rsidRDefault="0022001A" w:rsidP="0022001A">
      <w:pPr>
        <w:pStyle w:val="RAN4H1"/>
      </w:pPr>
      <w:r>
        <w:t>RRC based TCI state switching</w:t>
      </w:r>
    </w:p>
    <w:p w14:paraId="5080C6B2" w14:textId="4B369463" w:rsidR="00EA761C" w:rsidRDefault="00EA761C" w:rsidP="005B0D92">
      <w:r>
        <w:t xml:space="preserve">In case of </w:t>
      </w:r>
      <w:r w:rsidRPr="00F61D83">
        <w:t xml:space="preserve">a </w:t>
      </w:r>
      <w:r>
        <w:t xml:space="preserve">dual to single TCI state switch as well as for single to dual TCI state switch for PDCCH, </w:t>
      </w:r>
      <w:r w:rsidRPr="004F7A22">
        <w:t xml:space="preserve">which is essentially a </w:t>
      </w:r>
      <w:r>
        <w:t>switch between m</w:t>
      </w:r>
      <w:r w:rsidR="003B482F">
        <w:t>ulti-</w:t>
      </w:r>
      <w:r>
        <w:t>DCI and s</w:t>
      </w:r>
      <w:r w:rsidR="003B482F">
        <w:t>ingle-</w:t>
      </w:r>
      <w:r>
        <w:t xml:space="preserve">DCI </w:t>
      </w:r>
      <w:r w:rsidRPr="004F7A22">
        <w:t>scenario</w:t>
      </w:r>
      <w:r>
        <w:t>s</w:t>
      </w:r>
      <w:r w:rsidRPr="004F7A22">
        <w:t xml:space="preserve">, </w:t>
      </w:r>
      <w:r>
        <w:t xml:space="preserve">RRC based TCI state signaling requirements will apply. </w:t>
      </w:r>
    </w:p>
    <w:p w14:paraId="77538B21" w14:textId="77777777" w:rsidR="00EA761C" w:rsidRDefault="00EA761C" w:rsidP="00EA761C">
      <w:pPr>
        <w:jc w:val="center"/>
      </w:pPr>
      <w:r>
        <w:rPr>
          <w:noProof/>
        </w:rPr>
        <w:drawing>
          <wp:inline distT="0" distB="0" distL="0" distR="0" wp14:anchorId="59B46473" wp14:editId="787E7A2C">
            <wp:extent cx="5168900" cy="1047750"/>
            <wp:effectExtent l="19050" t="19050" r="12700" b="190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8069" cy="1049609"/>
                    </a:xfrm>
                    <a:prstGeom prst="rect">
                      <a:avLst/>
                    </a:prstGeom>
                    <a:noFill/>
                    <a:ln w="3175">
                      <a:solidFill>
                        <a:schemeClr val="tx1"/>
                      </a:solidFill>
                    </a:ln>
                  </pic:spPr>
                </pic:pic>
              </a:graphicData>
            </a:graphic>
          </wp:inline>
        </w:drawing>
      </w:r>
    </w:p>
    <w:p w14:paraId="5B0D637A" w14:textId="4F0F0073" w:rsidR="00EA761C" w:rsidRDefault="001F7AF7" w:rsidP="001F7AF7">
      <w:pPr>
        <w:pStyle w:val="Caption"/>
      </w:pPr>
      <w:r>
        <w:t xml:space="preserve">Figure </w:t>
      </w:r>
      <w:r w:rsidR="00446530">
        <w:fldChar w:fldCharType="begin"/>
      </w:r>
      <w:r w:rsidR="00446530">
        <w:instrText xml:space="preserve"> SEQ Figure \* ARABIC </w:instrText>
      </w:r>
      <w:r w:rsidR="00446530">
        <w:fldChar w:fldCharType="separate"/>
      </w:r>
      <w:r>
        <w:rPr>
          <w:noProof/>
        </w:rPr>
        <w:t>4</w:t>
      </w:r>
      <w:r w:rsidR="00446530">
        <w:rPr>
          <w:noProof/>
        </w:rPr>
        <w:fldChar w:fldCharType="end"/>
      </w:r>
      <w:r w:rsidR="00EA761C" w:rsidRPr="00F61D83">
        <w:rPr>
          <w:b/>
          <w:bCs/>
        </w:rPr>
        <w:t xml:space="preserve">: </w:t>
      </w:r>
      <w:r w:rsidR="00EA761C" w:rsidRPr="00F61D83">
        <w:t>Dual to Single TCI state switch for PDCCH</w:t>
      </w:r>
    </w:p>
    <w:p w14:paraId="2BAE2E24" w14:textId="77777777" w:rsidR="00EA761C" w:rsidRDefault="00EA761C" w:rsidP="00EA761C">
      <w:pPr>
        <w:ind w:left="360"/>
        <w:rPr>
          <w:lang w:val="en-GB"/>
        </w:rPr>
      </w:pPr>
    </w:p>
    <w:p w14:paraId="7CEA1F14" w14:textId="77777777" w:rsidR="00EA761C" w:rsidRPr="00863592" w:rsidRDefault="00EA761C" w:rsidP="00EA761C">
      <w:pPr>
        <w:jc w:val="center"/>
      </w:pPr>
      <w:r>
        <w:rPr>
          <w:noProof/>
        </w:rPr>
        <w:lastRenderedPageBreak/>
        <w:drawing>
          <wp:inline distT="0" distB="0" distL="0" distR="0" wp14:anchorId="7F4AF5D0" wp14:editId="79C5347B">
            <wp:extent cx="4904740" cy="3504565"/>
            <wp:effectExtent l="19050" t="19050" r="10160" b="196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04740" cy="3504565"/>
                    </a:xfrm>
                    <a:prstGeom prst="rect">
                      <a:avLst/>
                    </a:prstGeom>
                    <a:noFill/>
                    <a:ln w="0">
                      <a:solidFill>
                        <a:schemeClr val="tx1"/>
                      </a:solidFill>
                    </a:ln>
                  </pic:spPr>
                </pic:pic>
              </a:graphicData>
            </a:graphic>
          </wp:inline>
        </w:drawing>
      </w:r>
    </w:p>
    <w:p w14:paraId="5C025869" w14:textId="346E2727" w:rsidR="00EA761C" w:rsidRDefault="00EA761C" w:rsidP="00EA761C">
      <w:pPr>
        <w:pStyle w:val="Caption"/>
        <w:rPr>
          <w:b/>
          <w:bCs/>
        </w:rPr>
      </w:pPr>
      <w:bookmarkStart w:id="40" w:name="_Ref130914365"/>
      <w:bookmarkStart w:id="41" w:name="_Ref131609259"/>
      <w:r>
        <w:t xml:space="preserve">Figure </w:t>
      </w:r>
      <w:r w:rsidR="00446530">
        <w:fldChar w:fldCharType="begin"/>
      </w:r>
      <w:r w:rsidR="00446530">
        <w:instrText xml:space="preserve"> SEQ Figure \* ARABIC </w:instrText>
      </w:r>
      <w:r w:rsidR="00446530">
        <w:fldChar w:fldCharType="separate"/>
      </w:r>
      <w:r w:rsidR="001F7AF7">
        <w:rPr>
          <w:noProof/>
        </w:rPr>
        <w:t>5</w:t>
      </w:r>
      <w:r w:rsidR="00446530">
        <w:rPr>
          <w:noProof/>
        </w:rPr>
        <w:fldChar w:fldCharType="end"/>
      </w:r>
      <w:bookmarkEnd w:id="40"/>
      <w:r>
        <w:t>: s-DCI to m-DCI switch via RRC reconfiguration</w:t>
      </w:r>
      <w:bookmarkEnd w:id="41"/>
    </w:p>
    <w:p w14:paraId="61069B65" w14:textId="2BD3A024" w:rsidR="00EA761C" w:rsidRDefault="002553AC" w:rsidP="00EA761C">
      <w:r>
        <w:rPr>
          <w:lang w:eastAsia="zh-CN"/>
        </w:rPr>
        <w:fldChar w:fldCharType="begin"/>
      </w:r>
      <w:r>
        <w:rPr>
          <w:lang w:eastAsia="zh-CN"/>
        </w:rPr>
        <w:instrText xml:space="preserve"> REF _Ref130914365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t>
      </w:r>
      <w:r w:rsidR="00EA761C" w:rsidRPr="005E0A1D">
        <w:rPr>
          <w:lang w:eastAsia="zh-CN"/>
        </w:rPr>
        <w:t>shows a single DCI to multi-DCI switch</w:t>
      </w:r>
      <w:r w:rsidR="00EA761C">
        <w:rPr>
          <w:lang w:eastAsia="zh-CN"/>
        </w:rPr>
        <w:t xml:space="preserve"> </w:t>
      </w:r>
      <w:r w:rsidR="00EA761C" w:rsidRPr="005E0A1D">
        <w:rPr>
          <w:lang w:eastAsia="zh-CN"/>
        </w:rPr>
        <w:t>and vice versa. Here the UE is initially configured for single</w:t>
      </w:r>
      <w:r w:rsidR="003B482F">
        <w:rPr>
          <w:lang w:eastAsia="zh-CN"/>
        </w:rPr>
        <w:t>-</w:t>
      </w:r>
      <w:r w:rsidR="00EA761C" w:rsidRPr="005E0A1D">
        <w:rPr>
          <w:lang w:eastAsia="zh-CN"/>
        </w:rPr>
        <w:t xml:space="preserve">DCI where PDCCH is indicated for only </w:t>
      </w:r>
      <w:r w:rsidR="00434BEC">
        <w:rPr>
          <w:lang w:eastAsia="zh-CN"/>
        </w:rPr>
        <w:t>one</w:t>
      </w:r>
      <w:r w:rsidR="00EA761C" w:rsidRPr="005E0A1D">
        <w:rPr>
          <w:lang w:eastAsia="zh-CN"/>
        </w:rPr>
        <w:t xml:space="preserve"> TRP. In step 1, the UE is configured via RRC reconfiguration to use multi-DCI. Since </w:t>
      </w:r>
      <w:r w:rsidR="00EA761C">
        <w:rPr>
          <w:lang w:eastAsia="zh-CN"/>
        </w:rPr>
        <w:t>t</w:t>
      </w:r>
      <w:r w:rsidR="00EA761C" w:rsidRPr="009C5807">
        <w:rPr>
          <w:lang w:eastAsia="zh-CN"/>
        </w:rPr>
        <w:t xml:space="preserve">he </w:t>
      </w:r>
      <w:r w:rsidR="00EA761C">
        <w:rPr>
          <w:lang w:eastAsia="zh-CN"/>
        </w:rPr>
        <w:t xml:space="preserve">current </w:t>
      </w:r>
      <w:r w:rsidR="00EA761C" w:rsidRPr="009C5807">
        <w:rPr>
          <w:lang w:eastAsia="zh-CN"/>
        </w:rPr>
        <w:t xml:space="preserve">requirements for RRC based TCI state switch delay apply when only </w:t>
      </w:r>
      <w:r w:rsidR="00434BEC">
        <w:rPr>
          <w:lang w:eastAsia="zh-CN"/>
        </w:rPr>
        <w:t>one</w:t>
      </w:r>
      <w:r w:rsidR="00EA761C" w:rsidRPr="009C5807">
        <w:rPr>
          <w:lang w:eastAsia="zh-CN"/>
        </w:rPr>
        <w:t xml:space="preserve"> TCI state is configured in RRC TCI state list</w:t>
      </w:r>
      <w:r w:rsidR="00EA761C">
        <w:rPr>
          <w:lang w:eastAsia="zh-CN"/>
        </w:rPr>
        <w:t>, this needs to be updated to reflect the switch from/to s</w:t>
      </w:r>
      <w:r w:rsidR="00FE6544">
        <w:rPr>
          <w:lang w:eastAsia="zh-CN"/>
        </w:rPr>
        <w:t>ingle</w:t>
      </w:r>
      <w:r w:rsidR="00EA761C">
        <w:rPr>
          <w:lang w:eastAsia="zh-CN"/>
        </w:rPr>
        <w:t>-DCI to/from m</w:t>
      </w:r>
      <w:r w:rsidR="00FE6544">
        <w:rPr>
          <w:lang w:eastAsia="zh-CN"/>
        </w:rPr>
        <w:t>ulti</w:t>
      </w:r>
      <w:r w:rsidR="00EA761C">
        <w:rPr>
          <w:lang w:eastAsia="zh-CN"/>
        </w:rPr>
        <w:t xml:space="preserve">-DCI where the UE will receive two target TCI states.  In step 7 of the above figure, the UE is configured using RRC signaling to switch from multi-DCI to single-DCI. Since a single target TCI state is indicated, in this case the </w:t>
      </w:r>
      <w:r w:rsidR="003F52AB">
        <w:rPr>
          <w:lang w:eastAsia="zh-CN"/>
        </w:rPr>
        <w:t>legacy RRC</w:t>
      </w:r>
      <w:r w:rsidR="00EA761C" w:rsidRPr="005E0A1D">
        <w:rPr>
          <w:lang w:eastAsia="zh-CN"/>
        </w:rPr>
        <w:t xml:space="preserve"> based TCI state switch delay requirements can be reused</w:t>
      </w:r>
      <w:r w:rsidR="00EA761C">
        <w:rPr>
          <w:lang w:eastAsia="zh-CN"/>
        </w:rPr>
        <w:t>.</w:t>
      </w:r>
    </w:p>
    <w:p w14:paraId="55845712" w14:textId="44D14637" w:rsidR="00EA761C" w:rsidRDefault="00EA761C" w:rsidP="00B53B7E">
      <w:pPr>
        <w:pStyle w:val="RAN4observation0"/>
      </w:pPr>
      <w:bookmarkStart w:id="42" w:name="_Toc132016565"/>
      <w:r>
        <w:t xml:space="preserve">Existing defined requirements for RRC-based TCI state switch delay apply only when </w:t>
      </w:r>
      <w:r w:rsidR="002E7E04">
        <w:t>one</w:t>
      </w:r>
      <w:r>
        <w:t xml:space="preserve"> TCI state is configured in RRC state list.</w:t>
      </w:r>
      <w:bookmarkEnd w:id="42"/>
      <w:r>
        <w:t xml:space="preserve"> </w:t>
      </w:r>
    </w:p>
    <w:p w14:paraId="36053F12" w14:textId="7C1F1E06" w:rsidR="00456130" w:rsidRDefault="00456130" w:rsidP="00456130">
      <w:pPr>
        <w:pStyle w:val="RAN4proposal"/>
        <w:rPr>
          <w:lang w:val="en-GB"/>
        </w:rPr>
      </w:pPr>
      <w:bookmarkStart w:id="43" w:name="_Toc132016566"/>
      <w:r w:rsidRPr="006151D6">
        <w:rPr>
          <w:lang w:val="en-GB"/>
        </w:rPr>
        <w:t>A switch between dual TCI state to single TCI state and vice versa for PDCCH is a switch between m</w:t>
      </w:r>
      <w:r w:rsidR="00FE6544">
        <w:rPr>
          <w:lang w:val="en-GB"/>
        </w:rPr>
        <w:t>ulti</w:t>
      </w:r>
      <w:r w:rsidRPr="006151D6">
        <w:rPr>
          <w:lang w:val="en-GB"/>
        </w:rPr>
        <w:t>-DCI and s</w:t>
      </w:r>
      <w:r w:rsidR="00FE6544">
        <w:rPr>
          <w:lang w:val="en-GB"/>
        </w:rPr>
        <w:t>ingle</w:t>
      </w:r>
      <w:r w:rsidRPr="006151D6">
        <w:rPr>
          <w:lang w:val="en-GB"/>
        </w:rPr>
        <w:t>-DCI scenarios</w:t>
      </w:r>
      <w:r>
        <w:rPr>
          <w:lang w:val="en-GB"/>
        </w:rPr>
        <w:t>,</w:t>
      </w:r>
      <w:r w:rsidRPr="006151D6">
        <w:rPr>
          <w:lang w:val="en-GB"/>
        </w:rPr>
        <w:t xml:space="preserve"> which involves RRC signalling. Hence</w:t>
      </w:r>
      <w:r>
        <w:rPr>
          <w:lang w:val="en-GB"/>
        </w:rPr>
        <w:t>,</w:t>
      </w:r>
      <w:r w:rsidRPr="006151D6">
        <w:rPr>
          <w:lang w:val="en-GB"/>
        </w:rPr>
        <w:t xml:space="preserve"> RRC based TCI state switch delay requirements will apply</w:t>
      </w:r>
      <w:r w:rsidR="00FF6912">
        <w:rPr>
          <w:lang w:val="en-GB"/>
        </w:rPr>
        <w:t xml:space="preserve"> and requirements need to be updated</w:t>
      </w:r>
      <w:r w:rsidRPr="006151D6">
        <w:rPr>
          <w:lang w:val="en-GB"/>
        </w:rPr>
        <w:t xml:space="preserve"> for such cases.</w:t>
      </w:r>
      <w:bookmarkEnd w:id="43"/>
    </w:p>
    <w:p w14:paraId="34C7DF0C" w14:textId="5FB8926D" w:rsidR="0057232C" w:rsidRPr="0057232C" w:rsidRDefault="0057232C" w:rsidP="0057232C">
      <w:pPr>
        <w:pStyle w:val="RAN4H1"/>
      </w:pPr>
      <w:r>
        <w:t>TCI state list update</w:t>
      </w:r>
    </w:p>
    <w:p w14:paraId="0F7802BC" w14:textId="4096BCDB" w:rsidR="0046690F" w:rsidRDefault="0046690F" w:rsidP="0046690F">
      <w:pPr>
        <w:rPr>
          <w:lang w:eastAsia="zh-CN"/>
        </w:rPr>
      </w:pPr>
      <w:r>
        <w:t>The existing a</w:t>
      </w:r>
      <w:r w:rsidRPr="009C5807">
        <w:t>ctive TCI state list update delay</w:t>
      </w:r>
      <w:r>
        <w:t xml:space="preserve"> requirements</w:t>
      </w:r>
      <w:r w:rsidR="003A4D06">
        <w:t>,</w:t>
      </w:r>
      <w:r>
        <w:t xml:space="preserve"> where the MAC</w:t>
      </w:r>
      <w:r w:rsidR="00FE6544">
        <w:t>-</w:t>
      </w:r>
      <w:r>
        <w:t xml:space="preserve">CE </w:t>
      </w:r>
      <w:r w:rsidR="00446530">
        <w:t>activation command</w:t>
      </w:r>
      <w:r>
        <w:t xml:space="preserve"> for updating active TCI state list contains a single TCI state</w:t>
      </w:r>
      <w:r w:rsidR="003A4D06">
        <w:t>,</w:t>
      </w:r>
      <w:r>
        <w:t xml:space="preserve"> considers the </w:t>
      </w:r>
      <w:r w:rsidRPr="009C5807">
        <w:rPr>
          <w:lang w:eastAsia="zh-CN"/>
        </w:rPr>
        <w:t>time to first SSB transmission</w:t>
      </w:r>
      <w:r>
        <w:rPr>
          <w:lang w:eastAsia="zh-CN"/>
        </w:rPr>
        <w:t xml:space="preserve"> after </w:t>
      </w:r>
      <w:r w:rsidRPr="009C5807">
        <w:rPr>
          <w:lang w:eastAsia="zh-CN"/>
        </w:rPr>
        <w:t>MAC</w:t>
      </w:r>
      <w:r w:rsidR="00446530">
        <w:rPr>
          <w:lang w:eastAsia="zh-CN"/>
        </w:rPr>
        <w:t>-</w:t>
      </w:r>
      <w:r w:rsidRPr="009C5807">
        <w:rPr>
          <w:lang w:eastAsia="zh-CN"/>
        </w:rPr>
        <w:t>CE command is decoded by the UE</w:t>
      </w:r>
      <w:r>
        <w:rPr>
          <w:lang w:eastAsia="zh-CN"/>
        </w:rPr>
        <w:t xml:space="preserve"> (</w:t>
      </w:r>
      <w:proofErr w:type="spellStart"/>
      <w:r w:rsidRPr="00DB0635">
        <w:rPr>
          <w:rFonts w:eastAsia="Malgun Gothic"/>
          <w:lang w:eastAsia="zh-CN"/>
        </w:rPr>
        <w:t>T</w:t>
      </w:r>
      <w:r w:rsidRPr="00DB0635">
        <w:rPr>
          <w:rFonts w:eastAsia="Malgun Gothic"/>
          <w:vertAlign w:val="subscript"/>
          <w:lang w:eastAsia="zh-CN"/>
        </w:rPr>
        <w:t>first</w:t>
      </w:r>
      <w:proofErr w:type="spellEnd"/>
      <w:r w:rsidRPr="00DB0635">
        <w:rPr>
          <w:rFonts w:eastAsia="Malgun Gothic"/>
          <w:vertAlign w:val="subscript"/>
          <w:lang w:eastAsia="zh-CN"/>
        </w:rPr>
        <w:t>-SSB</w:t>
      </w:r>
      <w:r>
        <w:rPr>
          <w:rFonts w:eastAsia="Malgun Gothic"/>
          <w:lang w:eastAsia="zh-CN"/>
        </w:rPr>
        <w:t>)</w:t>
      </w:r>
      <w:r>
        <w:rPr>
          <w:lang w:eastAsia="zh-CN"/>
        </w:rPr>
        <w:t xml:space="preserve">. </w:t>
      </w:r>
    </w:p>
    <w:tbl>
      <w:tblPr>
        <w:tblStyle w:val="TableGrid"/>
        <w:tblW w:w="0" w:type="auto"/>
        <w:tblLook w:val="04A0" w:firstRow="1" w:lastRow="0" w:firstColumn="1" w:lastColumn="0" w:noHBand="0" w:noVBand="1"/>
      </w:tblPr>
      <w:tblGrid>
        <w:gridCol w:w="9617"/>
      </w:tblGrid>
      <w:tr w:rsidR="0046690F" w14:paraId="1804E232" w14:textId="77777777">
        <w:tc>
          <w:tcPr>
            <w:tcW w:w="9617" w:type="dxa"/>
          </w:tcPr>
          <w:p w14:paraId="0A0DA7DD" w14:textId="77777777" w:rsidR="0046690F" w:rsidRPr="00265080" w:rsidRDefault="0046690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eastAsia="en-GB"/>
              </w:rPr>
            </w:pPr>
            <w:r w:rsidRPr="00265080">
              <w:rPr>
                <w:rFonts w:ascii="Arial" w:eastAsia="Times New Roman" w:hAnsi="Arial" w:cs="Times New Roman"/>
                <w:sz w:val="28"/>
                <w:szCs w:val="20"/>
                <w:lang w:eastAsia="en-GB"/>
              </w:rPr>
              <w:lastRenderedPageBreak/>
              <w:t>8.10.6</w:t>
            </w:r>
            <w:r w:rsidRPr="00265080">
              <w:rPr>
                <w:rFonts w:ascii="Arial" w:eastAsia="Times New Roman" w:hAnsi="Arial" w:cs="Times New Roman"/>
                <w:sz w:val="28"/>
                <w:szCs w:val="20"/>
                <w:lang w:eastAsia="en-GB"/>
              </w:rPr>
              <w:tab/>
              <w:t>Active TCI state list update delay</w:t>
            </w:r>
          </w:p>
          <w:p w14:paraId="48ED7A4A" w14:textId="77777777" w:rsidR="0046690F" w:rsidRPr="00265080" w:rsidRDefault="0046690F">
            <w:pPr>
              <w:overflowPunct w:val="0"/>
              <w:autoSpaceDE w:val="0"/>
              <w:autoSpaceDN w:val="0"/>
              <w:adjustRightInd w:val="0"/>
              <w:spacing w:after="180"/>
              <w:textAlignment w:val="baseline"/>
              <w:rPr>
                <w:rFonts w:eastAsia="Malgun Gothic" w:cs="Times New Roman"/>
                <w:szCs w:val="20"/>
                <w:lang w:eastAsia="zh-CN"/>
              </w:rPr>
            </w:pPr>
            <w:r w:rsidRPr="00265080">
              <w:rPr>
                <w:rFonts w:eastAsia="Malgun Gothic" w:cs="Times New Roman"/>
                <w:szCs w:val="20"/>
                <w:lang w:eastAsia="zh-CN"/>
              </w:rPr>
              <w:t>If the target TCI state is known, upon</w:t>
            </w:r>
            <w:r w:rsidRPr="00265080">
              <w:rPr>
                <w:rFonts w:eastAsia="Times New Roman" w:cs="Times New Roman"/>
                <w:szCs w:val="20"/>
                <w:lang w:eastAsia="zh-CN"/>
              </w:rPr>
              <w:t xml:space="preserve"> receiv</w:t>
            </w:r>
            <w:r w:rsidRPr="00265080">
              <w:rPr>
                <w:rFonts w:eastAsia="Malgun Gothic" w:cs="Times New Roman"/>
                <w:szCs w:val="20"/>
                <w:lang w:eastAsia="zh-CN"/>
              </w:rPr>
              <w:t>ing PDSCH carrying</w:t>
            </w:r>
            <w:r w:rsidRPr="00265080">
              <w:rPr>
                <w:rFonts w:eastAsia="Times New Roman" w:cs="Times New Roman"/>
                <w:szCs w:val="20"/>
                <w:lang w:eastAsia="zh-CN"/>
              </w:rPr>
              <w:t xml:space="preserve"> </w:t>
            </w:r>
            <w:r w:rsidRPr="00265080">
              <w:rPr>
                <w:rFonts w:eastAsia="Malgun Gothic" w:cs="Times New Roman"/>
                <w:szCs w:val="20"/>
                <w:lang w:eastAsia="zh-CN"/>
              </w:rPr>
              <w:t>MAC-CE active TCI state list update at slot n</w:t>
            </w:r>
            <w:r w:rsidRPr="00265080">
              <w:rPr>
                <w:rFonts w:eastAsia="Times New Roman" w:cs="Times New Roman"/>
                <w:szCs w:val="20"/>
                <w:lang w:eastAsia="zh-CN"/>
              </w:rPr>
              <w:t xml:space="preserve">, UE shall be able to receive PDCCH to schedule PDSCH with the new target TCI state </w:t>
            </w:r>
            <w:r w:rsidRPr="00265080">
              <w:rPr>
                <w:rFonts w:eastAsia="Malgun Gothic" w:cs="Times New Roman"/>
                <w:szCs w:val="20"/>
                <w:lang w:eastAsia="zh-CN"/>
              </w:rPr>
              <w:t>at the first slot that is after</w:t>
            </w:r>
            <w:r w:rsidRPr="00265080">
              <w:rPr>
                <w:rFonts w:eastAsia="Times New Roman" w:cs="Times New Roman"/>
                <w:szCs w:val="20"/>
                <w:lang w:eastAsia="zh-CN"/>
              </w:rPr>
              <w:t xml:space="preserve"> n+</w:t>
            </w:r>
            <w:r w:rsidRPr="00265080">
              <w:rPr>
                <w:rFonts w:eastAsia="Malgun Gothic" w:cs="Times New Roman"/>
                <w:szCs w:val="20"/>
                <w:lang w:val="en-GB" w:eastAsia="zh-CN"/>
              </w:rPr>
              <w:t xml:space="preserve"> T</w:t>
            </w:r>
            <w:r w:rsidRPr="00265080">
              <w:rPr>
                <w:rFonts w:eastAsia="Malgun Gothic" w:cs="Times New Roman"/>
                <w:szCs w:val="20"/>
                <w:vertAlign w:val="subscript"/>
                <w:lang w:val="en-GB" w:eastAsia="zh-CN"/>
              </w:rPr>
              <w:t>HARQ</w:t>
            </w:r>
            <w:r w:rsidRPr="00265080">
              <w:rPr>
                <w:rFonts w:eastAsia="Malgun Gothic" w:cs="Times New Roman"/>
                <w:szCs w:val="20"/>
                <w:lang w:val="en-GB" w:eastAsia="zh-CN"/>
              </w:rPr>
              <w:t xml:space="preserve"> +</w:t>
            </w:r>
            <m:oMath>
              <m:sSubSup>
                <m:sSubSupPr>
                  <m:ctrlPr>
                    <w:rPr>
                      <w:rFonts w:ascii="Cambria Math" w:eastAsia="Times New Roman" w:hAnsi="Cambria Math" w:cs="Times New Roman"/>
                      <w:szCs w:val="20"/>
                      <w:lang w:val="en-GB" w:eastAsia="en-GB"/>
                    </w:rPr>
                  </m:ctrlPr>
                </m:sSubSupPr>
                <m:e>
                  <m:r>
                    <m:rPr>
                      <m:sty m:val="p"/>
                    </m:rPr>
                    <w:rPr>
                      <w:rFonts w:ascii="Cambria Math" w:eastAsia="Times New Roman" w:hAnsi="Cambria Math" w:cs="Times New Roman"/>
                      <w:szCs w:val="20"/>
                      <w:lang w:val="en-GB" w:eastAsia="en-GB"/>
                    </w:rPr>
                    <m:t>3N</m:t>
                  </m:r>
                </m:e>
                <m:sub>
                  <m:r>
                    <m:rPr>
                      <m:sty m:val="p"/>
                    </m:rPr>
                    <w:rPr>
                      <w:rFonts w:ascii="Cambria Math" w:eastAsia="Times New Roman" w:hAnsi="Cambria Math" w:cs="Times New Roman"/>
                      <w:szCs w:val="20"/>
                      <w:lang w:val="en-GB" w:eastAsia="en-GB"/>
                    </w:rPr>
                    <m:t>slot</m:t>
                  </m:r>
                </m:sub>
                <m:sup>
                  <m:r>
                    <m:rPr>
                      <m:sty m:val="p"/>
                    </m:rPr>
                    <w:rPr>
                      <w:rFonts w:ascii="Cambria Math" w:eastAsia="Times New Roman" w:hAnsi="Cambria Math" w:cs="Times New Roman"/>
                      <w:szCs w:val="20"/>
                      <w:lang w:val="en-GB" w:eastAsia="en-GB"/>
                    </w:rPr>
                    <m:t>subframe,µ</m:t>
                  </m:r>
                </m:sup>
              </m:sSubSup>
            </m:oMath>
            <w:r w:rsidRPr="00265080">
              <w:rPr>
                <w:rFonts w:eastAsia="Malgun Gothic" w:cs="Times New Roman"/>
                <w:szCs w:val="20"/>
                <w:lang w:eastAsia="zh-CN"/>
              </w:rPr>
              <w:t xml:space="preserve"> +</w:t>
            </w:r>
            <w:proofErr w:type="spellStart"/>
            <w:r w:rsidRPr="00265080">
              <w:rPr>
                <w:rFonts w:eastAsia="Malgun Gothic" w:cs="Times New Roman"/>
                <w:szCs w:val="20"/>
                <w:lang w:eastAsia="zh-CN"/>
              </w:rPr>
              <w:t>TO</w:t>
            </w:r>
            <w:r w:rsidRPr="00265080">
              <w:rPr>
                <w:rFonts w:eastAsia="Malgun Gothic" w:cs="Times New Roman"/>
                <w:szCs w:val="20"/>
                <w:vertAlign w:val="subscript"/>
                <w:lang w:eastAsia="zh-CN"/>
              </w:rPr>
              <w:t>k</w:t>
            </w:r>
            <w:proofErr w:type="spellEnd"/>
            <w:r w:rsidRPr="00265080">
              <w:rPr>
                <w:rFonts w:eastAsia="Malgun Gothic" w:cs="Times New Roman"/>
                <w:szCs w:val="20"/>
                <w:lang w:eastAsia="zh-CN"/>
              </w:rPr>
              <w:t>*(</w:t>
            </w:r>
            <w:proofErr w:type="spellStart"/>
            <w:r w:rsidRPr="00DB0635">
              <w:rPr>
                <w:rFonts w:eastAsia="Malgun Gothic" w:cs="Times New Roman"/>
                <w:b/>
                <w:bCs/>
                <w:szCs w:val="20"/>
                <w:lang w:eastAsia="zh-CN"/>
              </w:rPr>
              <w:t>T</w:t>
            </w:r>
            <w:r w:rsidRPr="00DB0635">
              <w:rPr>
                <w:rFonts w:eastAsia="Malgun Gothic" w:cs="Times New Roman"/>
                <w:b/>
                <w:bCs/>
                <w:szCs w:val="20"/>
                <w:vertAlign w:val="subscript"/>
                <w:lang w:eastAsia="zh-CN"/>
              </w:rPr>
              <w:t>first</w:t>
            </w:r>
            <w:proofErr w:type="spellEnd"/>
            <w:r w:rsidRPr="00DB0635">
              <w:rPr>
                <w:rFonts w:eastAsia="Malgun Gothic" w:cs="Times New Roman"/>
                <w:b/>
                <w:bCs/>
                <w:szCs w:val="20"/>
                <w:vertAlign w:val="subscript"/>
                <w:lang w:eastAsia="zh-CN"/>
              </w:rPr>
              <w:t>-SSB</w:t>
            </w:r>
            <w:r w:rsidRPr="00265080">
              <w:rPr>
                <w:rFonts w:eastAsia="Malgun Gothic" w:cs="Times New Roman"/>
                <w:szCs w:val="20"/>
                <w:vertAlign w:val="subscript"/>
                <w:lang w:eastAsia="zh-CN"/>
              </w:rPr>
              <w:t xml:space="preserve"> </w:t>
            </w:r>
            <w:r w:rsidRPr="00265080">
              <w:rPr>
                <w:rFonts w:eastAsia="Malgun Gothic" w:cs="Times New Roman"/>
                <w:szCs w:val="20"/>
                <w:lang w:eastAsia="zh-CN"/>
              </w:rPr>
              <w:t>+ T</w:t>
            </w:r>
            <w:r w:rsidRPr="00265080">
              <w:rPr>
                <w:rFonts w:eastAsia="Malgun Gothic" w:cs="Times New Roman"/>
                <w:szCs w:val="20"/>
                <w:vertAlign w:val="subscript"/>
                <w:lang w:eastAsia="zh-CN"/>
              </w:rPr>
              <w:t>SSB-proc</w:t>
            </w:r>
            <w:r w:rsidRPr="00265080">
              <w:rPr>
                <w:rFonts w:eastAsia="Malgun Gothic" w:cs="Times New Roman"/>
                <w:szCs w:val="20"/>
                <w:lang w:eastAsia="zh-CN"/>
              </w:rPr>
              <w:t>) /</w:t>
            </w:r>
            <w:r w:rsidRPr="00265080">
              <w:rPr>
                <w:rFonts w:eastAsia="Times New Roman" w:cs="Times New Roman"/>
                <w:i/>
                <w:szCs w:val="20"/>
                <w:lang w:eastAsia="zh-CN"/>
              </w:rPr>
              <w:t xml:space="preserve"> NR slot length</w:t>
            </w:r>
            <w:r w:rsidRPr="00265080">
              <w:rPr>
                <w:rFonts w:eastAsia="Times New Roman" w:cs="Times New Roman"/>
                <w:szCs w:val="20"/>
                <w:lang w:eastAsia="zh-CN"/>
              </w:rPr>
              <w:t xml:space="preserve">. Where </w:t>
            </w:r>
            <w:r w:rsidRPr="00265080">
              <w:rPr>
                <w:rFonts w:eastAsia="Malgun Gothic" w:cs="Times New Roman"/>
                <w:szCs w:val="20"/>
                <w:lang w:val="en-GB" w:eastAsia="zh-CN"/>
              </w:rPr>
              <w:t>T</w:t>
            </w:r>
            <w:r w:rsidRPr="00265080">
              <w:rPr>
                <w:rFonts w:eastAsia="Malgun Gothic" w:cs="Times New Roman"/>
                <w:szCs w:val="20"/>
                <w:vertAlign w:val="subscript"/>
                <w:lang w:val="en-GB" w:eastAsia="zh-CN"/>
              </w:rPr>
              <w:t>HARQ</w:t>
            </w:r>
            <w:r w:rsidRPr="00265080">
              <w:rPr>
                <w:rFonts w:eastAsia="Times New Roman" w:cs="Times New Roman"/>
                <w:szCs w:val="20"/>
                <w:lang w:eastAsia="zh-CN"/>
              </w:rPr>
              <w:t xml:space="preserve">, </w:t>
            </w:r>
            <w:proofErr w:type="spellStart"/>
            <w:r w:rsidRPr="00265080">
              <w:rPr>
                <w:rFonts w:eastAsia="Malgun Gothic" w:cs="Times New Roman"/>
                <w:szCs w:val="20"/>
                <w:lang w:eastAsia="zh-CN"/>
              </w:rPr>
              <w:t>T</w:t>
            </w:r>
            <w:r w:rsidRPr="00265080">
              <w:rPr>
                <w:rFonts w:eastAsia="Malgun Gothic" w:cs="Times New Roman"/>
                <w:szCs w:val="20"/>
                <w:vertAlign w:val="subscript"/>
                <w:lang w:eastAsia="zh-CN"/>
              </w:rPr>
              <w:t>first</w:t>
            </w:r>
            <w:proofErr w:type="spellEnd"/>
            <w:r w:rsidRPr="00265080">
              <w:rPr>
                <w:rFonts w:eastAsia="Malgun Gothic" w:cs="Times New Roman"/>
                <w:szCs w:val="20"/>
                <w:vertAlign w:val="subscript"/>
                <w:lang w:eastAsia="zh-CN"/>
              </w:rPr>
              <w:t>-SSB,</w:t>
            </w:r>
            <w:r w:rsidRPr="00265080">
              <w:rPr>
                <w:rFonts w:eastAsia="Malgun Gothic" w:cs="Times New Roman"/>
                <w:szCs w:val="20"/>
                <w:lang w:eastAsia="zh-CN"/>
              </w:rPr>
              <w:t xml:space="preserve"> T</w:t>
            </w:r>
            <w:r w:rsidRPr="00265080">
              <w:rPr>
                <w:rFonts w:eastAsia="Malgun Gothic" w:cs="Times New Roman"/>
                <w:szCs w:val="20"/>
                <w:vertAlign w:val="subscript"/>
                <w:lang w:eastAsia="zh-CN"/>
              </w:rPr>
              <w:t xml:space="preserve">SSB-proc </w:t>
            </w:r>
            <w:r w:rsidRPr="00265080">
              <w:rPr>
                <w:rFonts w:eastAsia="Malgun Gothic" w:cs="Times New Roman"/>
                <w:szCs w:val="20"/>
                <w:lang w:eastAsia="zh-CN"/>
              </w:rPr>
              <w:t xml:space="preserve">and </w:t>
            </w:r>
            <w:proofErr w:type="spellStart"/>
            <w:r w:rsidRPr="00265080">
              <w:rPr>
                <w:rFonts w:eastAsia="Malgun Gothic" w:cs="Times New Roman"/>
                <w:szCs w:val="20"/>
                <w:lang w:eastAsia="zh-CN"/>
              </w:rPr>
              <w:t>TO</w:t>
            </w:r>
            <w:r w:rsidRPr="00265080">
              <w:rPr>
                <w:rFonts w:eastAsia="Malgun Gothic" w:cs="Times New Roman"/>
                <w:szCs w:val="20"/>
                <w:vertAlign w:val="subscript"/>
                <w:lang w:eastAsia="zh-CN"/>
              </w:rPr>
              <w:t>k</w:t>
            </w:r>
            <w:proofErr w:type="spellEnd"/>
            <w:r w:rsidRPr="00265080">
              <w:rPr>
                <w:rFonts w:eastAsia="Malgun Gothic" w:cs="Times New Roman"/>
                <w:szCs w:val="20"/>
                <w:lang w:eastAsia="zh-CN"/>
              </w:rPr>
              <w:t xml:space="preserve"> are defined in </w:t>
            </w:r>
            <w:r w:rsidRPr="00265080">
              <w:rPr>
                <w:rFonts w:eastAsia="Times New Roman" w:cs="Times New Roman"/>
                <w:szCs w:val="20"/>
                <w:lang w:eastAsia="ko-KR"/>
              </w:rPr>
              <w:t>clause</w:t>
            </w:r>
            <w:r w:rsidRPr="00265080">
              <w:rPr>
                <w:rFonts w:eastAsia="Malgun Gothic" w:cs="Times New Roman"/>
                <w:szCs w:val="20"/>
                <w:lang w:eastAsia="zh-CN"/>
              </w:rPr>
              <w:t xml:space="preserve"> 8.10.3.</w:t>
            </w:r>
          </w:p>
          <w:p w14:paraId="59793AC7" w14:textId="77777777" w:rsidR="0046690F" w:rsidRDefault="0046690F">
            <w:pPr>
              <w:rPr>
                <w:lang w:eastAsia="zh-CN"/>
              </w:rPr>
            </w:pPr>
            <w:r>
              <w:rPr>
                <w:lang w:eastAsia="zh-CN"/>
              </w:rPr>
              <w:t>--</w:t>
            </w:r>
          </w:p>
          <w:p w14:paraId="1AD0D297" w14:textId="77777777" w:rsidR="0046690F" w:rsidRDefault="0046690F">
            <w:pPr>
              <w:rPr>
                <w:lang w:eastAsia="zh-CN"/>
              </w:rPr>
            </w:pPr>
          </w:p>
          <w:p w14:paraId="582BACB7" w14:textId="77777777" w:rsidR="0046690F" w:rsidRPr="009C5807" w:rsidRDefault="0046690F">
            <w:pPr>
              <w:pStyle w:val="B1"/>
              <w:rPr>
                <w:lang w:val="en-US" w:eastAsia="zh-CN"/>
              </w:rPr>
            </w:pPr>
            <w:r w:rsidRPr="009C5807">
              <w:rPr>
                <w:lang w:eastAsia="zh-CN"/>
              </w:rPr>
              <w:t>-</w:t>
            </w:r>
            <w:r w:rsidRPr="009C5807">
              <w:rPr>
                <w:lang w:eastAsia="zh-CN"/>
              </w:rPr>
              <w:tab/>
            </w:r>
            <w:proofErr w:type="spellStart"/>
            <w:r w:rsidRPr="00DB0635">
              <w:rPr>
                <w:b/>
                <w:lang w:val="en-US" w:eastAsia="zh-CN"/>
              </w:rPr>
              <w:t>T</w:t>
            </w:r>
            <w:r w:rsidRPr="00DB0635">
              <w:rPr>
                <w:b/>
                <w:vertAlign w:val="subscript"/>
                <w:lang w:val="en-US" w:eastAsia="zh-CN"/>
              </w:rPr>
              <w:t>first</w:t>
            </w:r>
            <w:proofErr w:type="spellEnd"/>
            <w:r w:rsidRPr="00DB0635">
              <w:rPr>
                <w:b/>
                <w:vertAlign w:val="subscript"/>
                <w:lang w:val="en-US" w:eastAsia="zh-CN"/>
              </w:rPr>
              <w:t>-SSB</w:t>
            </w:r>
            <w:r w:rsidRPr="009C5807">
              <w:rPr>
                <w:vertAlign w:val="subscript"/>
                <w:lang w:val="en-US" w:eastAsia="zh-CN"/>
              </w:rPr>
              <w:t xml:space="preserve"> </w:t>
            </w:r>
            <w:r w:rsidRPr="009C5807">
              <w:rPr>
                <w:lang w:val="en-US" w:eastAsia="zh-CN"/>
              </w:rPr>
              <w:t>is time to first SSB transmission after L1-RSRP measurement when TCI state switching involves QCL-</w:t>
            </w:r>
            <w:proofErr w:type="spellStart"/>
            <w:r w:rsidRPr="009C5807">
              <w:rPr>
                <w:lang w:val="en-US" w:eastAsia="zh-CN"/>
              </w:rPr>
              <w:t>TypeD</w:t>
            </w:r>
            <w:proofErr w:type="spellEnd"/>
            <w:r w:rsidRPr="009C5807">
              <w:rPr>
                <w:lang w:val="en-US" w:eastAsia="zh-CN"/>
              </w:rPr>
              <w:t xml:space="preserve">; </w:t>
            </w:r>
          </w:p>
          <w:p w14:paraId="1E8DDBB9" w14:textId="77777777" w:rsidR="0046690F" w:rsidRPr="009C5807" w:rsidRDefault="0046690F">
            <w:pPr>
              <w:pStyle w:val="B1"/>
              <w:rPr>
                <w:lang w:val="en-US" w:eastAsia="zh-CN"/>
              </w:rPr>
            </w:pPr>
            <w:r w:rsidRPr="009C5807">
              <w:rPr>
                <w:lang w:eastAsia="zh-CN"/>
              </w:rPr>
              <w:t>-</w:t>
            </w:r>
            <w:r w:rsidRPr="009C5807">
              <w:rPr>
                <w:lang w:eastAsia="zh-CN"/>
              </w:rPr>
              <w:tab/>
            </w:r>
            <w:proofErr w:type="spellStart"/>
            <w:r w:rsidRPr="00DB0635">
              <w:rPr>
                <w:b/>
                <w:lang w:val="en-US" w:eastAsia="zh-CN"/>
              </w:rPr>
              <w:t>T</w:t>
            </w:r>
            <w:r w:rsidRPr="00DB0635">
              <w:rPr>
                <w:b/>
                <w:vertAlign w:val="subscript"/>
                <w:lang w:val="en-US" w:eastAsia="zh-CN"/>
              </w:rPr>
              <w:t>first</w:t>
            </w:r>
            <w:proofErr w:type="spellEnd"/>
            <w:r w:rsidRPr="00DB0635">
              <w:rPr>
                <w:b/>
                <w:vertAlign w:val="subscript"/>
                <w:lang w:val="en-US" w:eastAsia="zh-CN"/>
              </w:rPr>
              <w:t>-SSB</w:t>
            </w:r>
            <w:r w:rsidRPr="009C5807">
              <w:rPr>
                <w:vertAlign w:val="subscript"/>
                <w:lang w:val="en-US" w:eastAsia="zh-CN"/>
              </w:rPr>
              <w:t xml:space="preserve"> </w:t>
            </w:r>
            <w:r w:rsidRPr="009C5807">
              <w:rPr>
                <w:lang w:val="en-US" w:eastAsia="zh-CN"/>
              </w:rPr>
              <w:t>is time to first SSB transmission after MAC CE command is decoded by the UE for other QCL types;</w:t>
            </w:r>
          </w:p>
          <w:p w14:paraId="4333099F" w14:textId="77777777" w:rsidR="0046690F" w:rsidRDefault="0046690F">
            <w:pPr>
              <w:rPr>
                <w:lang w:eastAsia="zh-CN"/>
              </w:rPr>
            </w:pPr>
          </w:p>
        </w:tc>
      </w:tr>
    </w:tbl>
    <w:p w14:paraId="0E664BF1" w14:textId="77777777" w:rsidR="0046690F" w:rsidRDefault="0046690F" w:rsidP="0046690F">
      <w:pPr>
        <w:rPr>
          <w:lang w:eastAsia="zh-CN"/>
        </w:rPr>
      </w:pPr>
    </w:p>
    <w:p w14:paraId="057C23BD" w14:textId="77777777" w:rsidR="0046690F" w:rsidRDefault="0046690F" w:rsidP="0046690F">
      <w:pPr>
        <w:rPr>
          <w:lang w:eastAsia="zh-CN"/>
        </w:rPr>
      </w:pPr>
      <w:r>
        <w:rPr>
          <w:lang w:eastAsia="zh-CN"/>
        </w:rPr>
        <w:t>In m-TRP deployments, when the MAC-CE contains dual TCI states, we propose to consider the first SSB for each of the TCI states.</w:t>
      </w:r>
    </w:p>
    <w:p w14:paraId="0673AC35" w14:textId="77777777" w:rsidR="0046690F" w:rsidRDefault="0046690F" w:rsidP="0046690F">
      <w:pPr>
        <w:jc w:val="center"/>
        <w:rPr>
          <w:lang w:eastAsia="zh-CN"/>
        </w:rPr>
      </w:pPr>
      <w:r>
        <w:rPr>
          <w:noProof/>
        </w:rPr>
        <w:drawing>
          <wp:inline distT="0" distB="0" distL="0" distR="0" wp14:anchorId="00AD7776" wp14:editId="19CCABE2">
            <wp:extent cx="3020467" cy="1244348"/>
            <wp:effectExtent l="19050" t="19050" r="2794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26875" cy="1246988"/>
                    </a:xfrm>
                    <a:prstGeom prst="rect">
                      <a:avLst/>
                    </a:prstGeom>
                    <a:ln>
                      <a:solidFill>
                        <a:schemeClr val="tx1"/>
                      </a:solidFill>
                    </a:ln>
                  </pic:spPr>
                </pic:pic>
              </a:graphicData>
            </a:graphic>
          </wp:inline>
        </w:drawing>
      </w:r>
    </w:p>
    <w:p w14:paraId="1EA2169E" w14:textId="1FAD2DC4" w:rsidR="0046690F" w:rsidRDefault="0046690F" w:rsidP="0046690F">
      <w:pPr>
        <w:pStyle w:val="Caption"/>
        <w:rPr>
          <w:lang w:eastAsia="zh-CN"/>
        </w:rPr>
      </w:pPr>
      <w:r>
        <w:t xml:space="preserve">Figure </w:t>
      </w:r>
      <w:r w:rsidR="00446530">
        <w:fldChar w:fldCharType="begin"/>
      </w:r>
      <w:r w:rsidR="00446530">
        <w:instrText xml:space="preserve"> SEQ Figure \* A</w:instrText>
      </w:r>
      <w:r w:rsidR="00446530">
        <w:instrText xml:space="preserve">RABIC </w:instrText>
      </w:r>
      <w:r w:rsidR="00446530">
        <w:fldChar w:fldCharType="separate"/>
      </w:r>
      <w:r w:rsidR="001F7AF7">
        <w:rPr>
          <w:noProof/>
        </w:rPr>
        <w:t>6</w:t>
      </w:r>
      <w:r w:rsidR="00446530">
        <w:rPr>
          <w:noProof/>
        </w:rPr>
        <w:fldChar w:fldCharType="end"/>
      </w:r>
      <w:r>
        <w:t>: Active TCI state list for dual TCI</w:t>
      </w:r>
    </w:p>
    <w:p w14:paraId="4B4A6910" w14:textId="7FBA08F5" w:rsidR="0046690F" w:rsidRDefault="0046690F" w:rsidP="0046690F">
      <w:pPr>
        <w:pStyle w:val="RAN4proposal"/>
      </w:pPr>
      <w:bookmarkStart w:id="44" w:name="_Toc127557118"/>
      <w:bookmarkStart w:id="45" w:name="_Toc132016567"/>
      <w:r>
        <w:t xml:space="preserve">If a pair </w:t>
      </w:r>
      <w:r w:rsidRPr="002135F4">
        <w:t>of TCI states is activated by MAC</w:t>
      </w:r>
      <w:r w:rsidR="00446530">
        <w:t>-</w:t>
      </w:r>
      <w:r w:rsidRPr="002135F4">
        <w:t xml:space="preserve">CE command, consider the first SSB of </w:t>
      </w:r>
      <w:r w:rsidR="00521AEC">
        <w:t>each</w:t>
      </w:r>
      <w:r w:rsidR="00521AEC" w:rsidRPr="002135F4">
        <w:t xml:space="preserve"> </w:t>
      </w:r>
      <w:r w:rsidRPr="002135F4">
        <w:t>TCI state for activation time</w:t>
      </w:r>
      <w:r>
        <w:t xml:space="preserve"> while arriving at the active TCI state list update delay requirements for dual TCI states</w:t>
      </w:r>
      <w:bookmarkEnd w:id="44"/>
      <w:r w:rsidR="004F59BF">
        <w:t>.</w:t>
      </w:r>
      <w:bookmarkEnd w:id="45"/>
    </w:p>
    <w:p w14:paraId="2E299398" w14:textId="18FC3061" w:rsidR="00CD7492" w:rsidRPr="00EF698B" w:rsidRDefault="00CD7492" w:rsidP="00A37002">
      <w:pPr>
        <w:pStyle w:val="RAN4H1"/>
        <w:rPr>
          <w:lang w:val="en-US"/>
        </w:rPr>
      </w:pPr>
      <w:r w:rsidRPr="00EF698B">
        <w:rPr>
          <w:lang w:val="en-US"/>
        </w:rPr>
        <w:t>Conclusion</w:t>
      </w:r>
      <w:bookmarkEnd w:id="5"/>
    </w:p>
    <w:p w14:paraId="209E2C05" w14:textId="4044417D" w:rsidR="00D5270B" w:rsidRPr="00D7636C" w:rsidRDefault="00D7636C" w:rsidP="00936159">
      <w:pPr>
        <w:rPr>
          <w:highlight w:val="yellow"/>
          <w:lang w:val="en-GB"/>
        </w:rPr>
      </w:pPr>
      <w:r w:rsidRPr="00D7636C">
        <w:t>In this contribution we have made the following observations and proposals:</w:t>
      </w:r>
    </w:p>
    <w:p w14:paraId="1F9D2751" w14:textId="265F6F34" w:rsidR="00446530" w:rsidRDefault="00A4355E">
      <w:pPr>
        <w:pStyle w:val="TOC4"/>
        <w:rPr>
          <w:rFonts w:asciiTheme="minorHAnsi" w:eastAsiaTheme="minorEastAsia" w:hAnsiTheme="minorHAnsi"/>
          <w:noProof/>
          <w:sz w:val="22"/>
        </w:rPr>
      </w:pPr>
      <w:r>
        <w:rPr>
          <w:i/>
        </w:rPr>
        <w:fldChar w:fldCharType="begin"/>
      </w:r>
      <w:r>
        <w:rPr>
          <w:i/>
          <w:iCs/>
          <w:noProof/>
          <w:u w:val="single"/>
        </w:rPr>
        <w:instrText xml:space="preserve"> TOC \n \h \z \t "RAN4 proposal,5,RAN4 observation,4" </w:instrText>
      </w:r>
      <w:r>
        <w:rPr>
          <w:i/>
        </w:rPr>
        <w:fldChar w:fldCharType="separate"/>
      </w:r>
      <w:hyperlink w:anchor="_Toc132016551" w:history="1">
        <w:r w:rsidR="00446530" w:rsidRPr="008E3C68">
          <w:rPr>
            <w:rStyle w:val="Hyperlink"/>
            <w:bCs/>
            <w:noProof/>
          </w:rPr>
          <w:t>Observation 1:</w:t>
        </w:r>
        <w:r w:rsidR="00446530" w:rsidRPr="008E3C68">
          <w:rPr>
            <w:rStyle w:val="Hyperlink"/>
            <w:noProof/>
          </w:rPr>
          <w:t xml:space="preserve"> The existing conditions defined for a target TCI state to be known are based on whether the UE has reported a valid L1-RSRP measurement for the target TCI state, and reference signal associated with the TCI state is detectable during the switching period.</w:t>
        </w:r>
      </w:hyperlink>
    </w:p>
    <w:p w14:paraId="6AFA11A2" w14:textId="68B9546A" w:rsidR="00446530" w:rsidRDefault="00446530">
      <w:pPr>
        <w:pStyle w:val="TOC5"/>
        <w:tabs>
          <w:tab w:val="right" w:leader="dot" w:pos="9617"/>
        </w:tabs>
        <w:rPr>
          <w:rFonts w:asciiTheme="minorHAnsi" w:eastAsiaTheme="minorEastAsia" w:hAnsiTheme="minorHAnsi"/>
          <w:b w:val="0"/>
          <w:noProof/>
          <w:sz w:val="22"/>
        </w:rPr>
      </w:pPr>
      <w:hyperlink w:anchor="_Toc132016552" w:history="1">
        <w:r w:rsidRPr="008E3C68">
          <w:rPr>
            <w:rStyle w:val="Hyperlink"/>
            <w:noProof/>
          </w:rPr>
          <w:t>Proposal 1: The existing conditions for determining a known TCI state which have been defined for a single TCI state switch can be re-used for dual TCI state switch.</w:t>
        </w:r>
      </w:hyperlink>
    </w:p>
    <w:p w14:paraId="1683716F" w14:textId="73CDC769" w:rsidR="00446530" w:rsidRDefault="00446530">
      <w:pPr>
        <w:pStyle w:val="TOC5"/>
        <w:tabs>
          <w:tab w:val="right" w:leader="dot" w:pos="9617"/>
        </w:tabs>
        <w:rPr>
          <w:rFonts w:asciiTheme="minorHAnsi" w:eastAsiaTheme="minorEastAsia" w:hAnsiTheme="minorHAnsi"/>
          <w:b w:val="0"/>
          <w:noProof/>
          <w:sz w:val="22"/>
        </w:rPr>
      </w:pPr>
      <w:hyperlink w:anchor="_Toc132016553" w:history="1">
        <w:r w:rsidRPr="008E3C68">
          <w:rPr>
            <w:rStyle w:val="Hyperlink"/>
            <w:noProof/>
            <w:lang w:val="en-GB"/>
          </w:rPr>
          <w:t>Proposal 2:</w:t>
        </w:r>
        <w:r w:rsidRPr="008E3C68">
          <w:rPr>
            <w:rStyle w:val="Hyperlink"/>
            <w:noProof/>
          </w:rPr>
          <w:t xml:space="preserve"> Both target TCI states need to be known in order to use the requirements with known conditions for DCI based TCI switching in single DCI scenario.</w:t>
        </w:r>
      </w:hyperlink>
    </w:p>
    <w:p w14:paraId="4BA37349" w14:textId="0975F884" w:rsidR="00446530" w:rsidRDefault="00446530">
      <w:pPr>
        <w:pStyle w:val="TOC5"/>
        <w:tabs>
          <w:tab w:val="right" w:leader="dot" w:pos="9617"/>
        </w:tabs>
        <w:rPr>
          <w:rFonts w:asciiTheme="minorHAnsi" w:eastAsiaTheme="minorEastAsia" w:hAnsiTheme="minorHAnsi"/>
          <w:b w:val="0"/>
          <w:noProof/>
          <w:sz w:val="22"/>
        </w:rPr>
      </w:pPr>
      <w:hyperlink w:anchor="_Toc132016554" w:history="1">
        <w:r w:rsidRPr="008E3C68">
          <w:rPr>
            <w:rStyle w:val="Hyperlink"/>
            <w:noProof/>
            <w:lang w:val="en-GB"/>
          </w:rPr>
          <w:t>Proposal 3:</w:t>
        </w:r>
        <w:r w:rsidRPr="008E3C68">
          <w:rPr>
            <w:rStyle w:val="Hyperlink"/>
            <w:noProof/>
          </w:rPr>
          <w:t xml:space="preserve"> RAN4 to reuse Rel-16 requirements for the case of DCI-based TCI switching for PDSCH in single DCI scenario.</w:t>
        </w:r>
      </w:hyperlink>
    </w:p>
    <w:p w14:paraId="588A87B1" w14:textId="540F29B6" w:rsidR="00446530" w:rsidRDefault="00446530">
      <w:pPr>
        <w:pStyle w:val="TOC5"/>
        <w:tabs>
          <w:tab w:val="right" w:leader="dot" w:pos="9617"/>
        </w:tabs>
        <w:rPr>
          <w:rFonts w:asciiTheme="minorHAnsi" w:eastAsiaTheme="minorEastAsia" w:hAnsiTheme="minorHAnsi"/>
          <w:b w:val="0"/>
          <w:noProof/>
          <w:sz w:val="22"/>
        </w:rPr>
      </w:pPr>
      <w:hyperlink w:anchor="_Toc132016555" w:history="1">
        <w:r w:rsidRPr="008E3C68">
          <w:rPr>
            <w:rStyle w:val="Hyperlink"/>
            <w:noProof/>
          </w:rPr>
          <w:t>Proposal 4: For a UE operating in multi-DCI mode, TCI state switching applies per Rx chain independently, and thus TCI state switching delay requirements for single TRP mode can be reused per DCI.</w:t>
        </w:r>
      </w:hyperlink>
    </w:p>
    <w:p w14:paraId="558478C7" w14:textId="3867FBB3" w:rsidR="00446530" w:rsidRDefault="00446530">
      <w:pPr>
        <w:pStyle w:val="TOC4"/>
        <w:rPr>
          <w:rFonts w:asciiTheme="minorHAnsi" w:eastAsiaTheme="minorEastAsia" w:hAnsiTheme="minorHAnsi"/>
          <w:noProof/>
          <w:sz w:val="22"/>
        </w:rPr>
      </w:pPr>
      <w:hyperlink w:anchor="_Toc132016556" w:history="1">
        <w:r w:rsidRPr="008E3C68">
          <w:rPr>
            <w:rStyle w:val="Hyperlink"/>
            <w:noProof/>
          </w:rPr>
          <w:t>Observation 2: In case two DCIs from different TRPs are received with a time distance smaller than timerDurationForQCL, RAN1 requirements state that the UE can receive PDSCH on both TCI states when timerDurationForQCL has passed for both states.</w:t>
        </w:r>
      </w:hyperlink>
    </w:p>
    <w:p w14:paraId="561A3E36" w14:textId="2CBFA018" w:rsidR="00446530" w:rsidRDefault="00446530">
      <w:pPr>
        <w:pStyle w:val="TOC5"/>
        <w:tabs>
          <w:tab w:val="right" w:leader="dot" w:pos="9617"/>
        </w:tabs>
        <w:rPr>
          <w:rFonts w:asciiTheme="minorHAnsi" w:eastAsiaTheme="minorEastAsia" w:hAnsiTheme="minorHAnsi"/>
          <w:b w:val="0"/>
          <w:noProof/>
          <w:sz w:val="22"/>
        </w:rPr>
      </w:pPr>
      <w:hyperlink w:anchor="_Toc132016557" w:history="1">
        <w:r w:rsidRPr="008E3C68">
          <w:rPr>
            <w:rStyle w:val="Hyperlink"/>
            <w:noProof/>
            <w:lang w:val="en-GB"/>
          </w:rPr>
          <w:t>Proposal 5:</w:t>
        </w:r>
        <w:r w:rsidRPr="008E3C68">
          <w:rPr>
            <w:rStyle w:val="Hyperlink"/>
            <w:noProof/>
          </w:rPr>
          <w:t xml:space="preserve"> In multi DCI scenario, if DCI based TCI switch command from one TRP is received at n1, DCI state from other TRP is received at n2, and |n1-n2| &lt; timeDurationForQCL the UE shall be able to receive PDSCH after slot max(n1,n2)+timeDurationForQCL.</w:t>
        </w:r>
      </w:hyperlink>
    </w:p>
    <w:p w14:paraId="47D1883D" w14:textId="58271CF6" w:rsidR="00446530" w:rsidRDefault="00446530">
      <w:pPr>
        <w:pStyle w:val="TOC4"/>
        <w:rPr>
          <w:rFonts w:asciiTheme="minorHAnsi" w:eastAsiaTheme="minorEastAsia" w:hAnsiTheme="minorHAnsi"/>
          <w:noProof/>
          <w:sz w:val="22"/>
        </w:rPr>
      </w:pPr>
      <w:hyperlink w:anchor="_Toc132016558" w:history="1">
        <w:r w:rsidRPr="008E3C68">
          <w:rPr>
            <w:rStyle w:val="Hyperlink"/>
            <w:noProof/>
          </w:rPr>
          <w:t>Observation 1: MAC-CE based TCI switch in sDCI with non-SFN PDCCH scenario involves only one target TCI state.</w:t>
        </w:r>
      </w:hyperlink>
    </w:p>
    <w:p w14:paraId="4C647835" w14:textId="5B556FE5" w:rsidR="00446530" w:rsidRDefault="00446530">
      <w:pPr>
        <w:pStyle w:val="TOC5"/>
        <w:tabs>
          <w:tab w:val="right" w:leader="dot" w:pos="9617"/>
        </w:tabs>
        <w:rPr>
          <w:rFonts w:asciiTheme="minorHAnsi" w:eastAsiaTheme="minorEastAsia" w:hAnsiTheme="minorHAnsi"/>
          <w:b w:val="0"/>
          <w:noProof/>
          <w:sz w:val="22"/>
        </w:rPr>
      </w:pPr>
      <w:hyperlink w:anchor="_Toc132016559" w:history="1">
        <w:r w:rsidRPr="008E3C68">
          <w:rPr>
            <w:rStyle w:val="Hyperlink"/>
            <w:noProof/>
          </w:rPr>
          <w:t>Proposal 6: For non-SFN based MAC-CE based TCI indication method for PDCCH, use legacy TCI state switching requirements for multi Rx.</w:t>
        </w:r>
      </w:hyperlink>
    </w:p>
    <w:p w14:paraId="4564603F" w14:textId="160CC568" w:rsidR="00446530" w:rsidRDefault="00446530">
      <w:pPr>
        <w:pStyle w:val="TOC4"/>
        <w:rPr>
          <w:rFonts w:asciiTheme="minorHAnsi" w:eastAsiaTheme="minorEastAsia" w:hAnsiTheme="minorHAnsi"/>
          <w:noProof/>
          <w:sz w:val="22"/>
        </w:rPr>
      </w:pPr>
      <w:hyperlink w:anchor="_Toc132016560" w:history="1">
        <w:r w:rsidRPr="008E3C68">
          <w:rPr>
            <w:rStyle w:val="Hyperlink"/>
            <w:noProof/>
          </w:rPr>
          <w:t>Observation 2: When PDCCH SFN is used, one MAC CE is used to indicate two TCI states used for PDCCH.</w:t>
        </w:r>
      </w:hyperlink>
    </w:p>
    <w:p w14:paraId="36CD264E" w14:textId="63AA399B" w:rsidR="00446530" w:rsidRDefault="00446530">
      <w:pPr>
        <w:pStyle w:val="TOC5"/>
        <w:tabs>
          <w:tab w:val="right" w:leader="dot" w:pos="9617"/>
        </w:tabs>
        <w:rPr>
          <w:rFonts w:asciiTheme="minorHAnsi" w:eastAsiaTheme="minorEastAsia" w:hAnsiTheme="minorHAnsi"/>
          <w:b w:val="0"/>
          <w:noProof/>
          <w:sz w:val="22"/>
        </w:rPr>
      </w:pPr>
      <w:hyperlink w:anchor="_Toc132016561" w:history="1">
        <w:r w:rsidRPr="008E3C68">
          <w:rPr>
            <w:rStyle w:val="Hyperlink"/>
            <w:noProof/>
          </w:rPr>
          <w:t>Proposal 7: For single DCI SFN scenario, define requirements for MAC-CE based TCI state switch to dual TCI states.</w:t>
        </w:r>
      </w:hyperlink>
    </w:p>
    <w:p w14:paraId="77435ADF" w14:textId="4A2BAE14" w:rsidR="00446530" w:rsidRDefault="00446530">
      <w:pPr>
        <w:pStyle w:val="TOC5"/>
        <w:tabs>
          <w:tab w:val="right" w:leader="dot" w:pos="9617"/>
        </w:tabs>
        <w:rPr>
          <w:rFonts w:asciiTheme="minorHAnsi" w:eastAsiaTheme="minorEastAsia" w:hAnsiTheme="minorHAnsi"/>
          <w:b w:val="0"/>
          <w:noProof/>
          <w:sz w:val="22"/>
        </w:rPr>
      </w:pPr>
      <w:hyperlink w:anchor="_Toc132016562" w:history="1">
        <w:r w:rsidRPr="008E3C68">
          <w:rPr>
            <w:rStyle w:val="Hyperlink"/>
            <w:noProof/>
          </w:rPr>
          <w:t>Proposal 8: If a pair of TCI states is activated by MAC-CE command in SFN scenario, consider the first SSB of each TCI state for activation time while arriving at the active TCI state list update delay requirements for dual TCI states</w:t>
        </w:r>
      </w:hyperlink>
    </w:p>
    <w:p w14:paraId="6E02035C" w14:textId="1629833C" w:rsidR="00446530" w:rsidRDefault="00446530">
      <w:pPr>
        <w:pStyle w:val="TOC5"/>
        <w:tabs>
          <w:tab w:val="right" w:leader="dot" w:pos="9617"/>
        </w:tabs>
        <w:rPr>
          <w:rFonts w:asciiTheme="minorHAnsi" w:eastAsiaTheme="minorEastAsia" w:hAnsiTheme="minorHAnsi"/>
          <w:b w:val="0"/>
          <w:noProof/>
          <w:sz w:val="22"/>
        </w:rPr>
      </w:pPr>
      <w:hyperlink w:anchor="_Toc132016563" w:history="1">
        <w:r w:rsidRPr="008E3C68">
          <w:rPr>
            <w:rStyle w:val="Hyperlink"/>
            <w:noProof/>
            <w:lang w:val="en-GB"/>
          </w:rPr>
          <w:t>Proposal 9: When the UE receives a MAC-CE indication for two PDCCH TCI states, if the UE is already receiving from a PDCCH whose TCI state is known, the existing MAC-CE based TCI state switch delay requirements can be reused.</w:t>
        </w:r>
      </w:hyperlink>
    </w:p>
    <w:p w14:paraId="5E47E56B" w14:textId="76CC31B9" w:rsidR="00446530" w:rsidRDefault="00446530">
      <w:pPr>
        <w:pStyle w:val="TOC5"/>
        <w:tabs>
          <w:tab w:val="right" w:leader="dot" w:pos="9617"/>
        </w:tabs>
        <w:rPr>
          <w:rFonts w:asciiTheme="minorHAnsi" w:eastAsiaTheme="minorEastAsia" w:hAnsiTheme="minorHAnsi"/>
          <w:b w:val="0"/>
          <w:noProof/>
          <w:sz w:val="22"/>
        </w:rPr>
      </w:pPr>
      <w:hyperlink w:anchor="_Toc132016564" w:history="1">
        <w:r w:rsidRPr="008E3C68">
          <w:rPr>
            <w:rStyle w:val="Hyperlink"/>
            <w:noProof/>
            <w:lang w:val="en-GB"/>
          </w:rPr>
          <w:t>Proposal 10:</w:t>
        </w:r>
        <w:r w:rsidRPr="008E3C68">
          <w:rPr>
            <w:rStyle w:val="Hyperlink"/>
            <w:noProof/>
          </w:rPr>
          <w:t xml:space="preserve"> In multi-DCI scenario, legacy requirements for MAC-CE based TCI state switch for PDCCH apply per TRP.</w:t>
        </w:r>
      </w:hyperlink>
    </w:p>
    <w:p w14:paraId="07392399" w14:textId="1989DFB8" w:rsidR="00446530" w:rsidRDefault="00446530">
      <w:pPr>
        <w:pStyle w:val="TOC4"/>
        <w:rPr>
          <w:rFonts w:asciiTheme="minorHAnsi" w:eastAsiaTheme="minorEastAsia" w:hAnsiTheme="minorHAnsi"/>
          <w:noProof/>
          <w:sz w:val="22"/>
        </w:rPr>
      </w:pPr>
      <w:hyperlink w:anchor="_Toc132016565" w:history="1">
        <w:r w:rsidRPr="008E3C68">
          <w:rPr>
            <w:rStyle w:val="Hyperlink"/>
            <w:noProof/>
          </w:rPr>
          <w:t>Observation 3: Existing defined requirements for RRC-based TCI state switch delay apply only when one TCI state is configured in RRC state list.</w:t>
        </w:r>
      </w:hyperlink>
    </w:p>
    <w:p w14:paraId="3617635F" w14:textId="2DB0A18E" w:rsidR="00446530" w:rsidRDefault="00446530">
      <w:pPr>
        <w:pStyle w:val="TOC5"/>
        <w:tabs>
          <w:tab w:val="right" w:leader="dot" w:pos="9617"/>
        </w:tabs>
        <w:rPr>
          <w:rFonts w:asciiTheme="minorHAnsi" w:eastAsiaTheme="minorEastAsia" w:hAnsiTheme="minorHAnsi"/>
          <w:b w:val="0"/>
          <w:noProof/>
          <w:sz w:val="22"/>
        </w:rPr>
      </w:pPr>
      <w:hyperlink w:anchor="_Toc132016566" w:history="1">
        <w:r w:rsidRPr="008E3C68">
          <w:rPr>
            <w:rStyle w:val="Hyperlink"/>
            <w:noProof/>
            <w:lang w:val="en-GB"/>
          </w:rPr>
          <w:t>Proposal 11: A switch between dual TCI state to single TCI state and vice versa for PDCCH is a switch between multi-DCI and single-DCI scenarios, which involves RRC signalling. Hence, RRC based TCI state switch delay requirements will apply and requirements need to be updated for such cases.</w:t>
        </w:r>
      </w:hyperlink>
    </w:p>
    <w:p w14:paraId="3A4C1598" w14:textId="69039AA9" w:rsidR="00446530" w:rsidRDefault="00446530">
      <w:pPr>
        <w:pStyle w:val="TOC5"/>
        <w:tabs>
          <w:tab w:val="right" w:leader="dot" w:pos="9617"/>
        </w:tabs>
        <w:rPr>
          <w:rFonts w:asciiTheme="minorHAnsi" w:eastAsiaTheme="minorEastAsia" w:hAnsiTheme="minorHAnsi"/>
          <w:b w:val="0"/>
          <w:noProof/>
          <w:sz w:val="22"/>
        </w:rPr>
      </w:pPr>
      <w:hyperlink w:anchor="_Toc132016567" w:history="1">
        <w:r w:rsidRPr="008E3C68">
          <w:rPr>
            <w:rStyle w:val="Hyperlink"/>
            <w:noProof/>
          </w:rPr>
          <w:t>Proposal 12: If a pair of TCI states is activated by MAC-CE command, consider the first SSB of each TCI state for activation time while arriving at the active TCI state list update delay requirements for dual TCI states.</w:t>
        </w:r>
      </w:hyperlink>
    </w:p>
    <w:p w14:paraId="3E73B47F" w14:textId="13E53925" w:rsidR="006463AF" w:rsidRDefault="00A4355E">
      <w:pPr>
        <w:rPr>
          <w:rFonts w:ascii="Arial" w:eastAsia="SimSun" w:hAnsi="Arial" w:cs="Times New Roman"/>
          <w:noProof/>
          <w:sz w:val="36"/>
          <w:szCs w:val="20"/>
          <w:lang w:val="en-GB"/>
        </w:rPr>
      </w:pPr>
      <w:r>
        <w:rPr>
          <w:noProof/>
        </w:rPr>
        <w:fldChar w:fldCharType="end"/>
      </w:r>
      <w:bookmarkStart w:id="46" w:name="_Toc116995849"/>
    </w:p>
    <w:p w14:paraId="15BC5D0F" w14:textId="0B9DC3F8" w:rsidR="003B659E" w:rsidRPr="0060543D" w:rsidRDefault="003B659E" w:rsidP="0060543D">
      <w:pPr>
        <w:pStyle w:val="RAN4H1"/>
        <w:numPr>
          <w:ilvl w:val="0"/>
          <w:numId w:val="0"/>
        </w:numPr>
        <w:ind w:left="360" w:hanging="360"/>
      </w:pPr>
      <w:r w:rsidRPr="00EF698B">
        <w:t>References</w:t>
      </w:r>
      <w:bookmarkEnd w:id="46"/>
    </w:p>
    <w:p w14:paraId="2A822DD2" w14:textId="77777777" w:rsidR="000D3851" w:rsidRDefault="000D3851" w:rsidP="000D3851">
      <w:pPr>
        <w:pStyle w:val="ListParagraph"/>
        <w:numPr>
          <w:ilvl w:val="0"/>
          <w:numId w:val="21"/>
        </w:numPr>
        <w:ind w:right="-22"/>
      </w:pPr>
      <w:bookmarkStart w:id="47" w:name="_Ref114500673"/>
      <w:bookmarkStart w:id="48" w:name="_Ref127350893"/>
      <w:bookmarkEnd w:id="47"/>
      <w:r w:rsidRPr="005B6379">
        <w:t>RP-223520, Revised WID on Further NR mobility enhancements, 3GPP TSG RAN Meeting #98-e, Electronic Meeting, December 12-16, 2022.</w:t>
      </w:r>
      <w:bookmarkEnd w:id="48"/>
    </w:p>
    <w:p w14:paraId="0650C058" w14:textId="77777777" w:rsidR="000040DC" w:rsidRDefault="000040DC" w:rsidP="000040DC">
      <w:pPr>
        <w:ind w:right="-22"/>
        <w:rPr>
          <w:highlight w:val="yellow"/>
        </w:rPr>
      </w:pPr>
    </w:p>
    <w:p w14:paraId="62EF9BBA"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BA7FB" w14:textId="77777777" w:rsidR="00E449F0" w:rsidRDefault="00E449F0" w:rsidP="00001C9B">
      <w:pPr>
        <w:spacing w:after="0" w:line="240" w:lineRule="auto"/>
      </w:pPr>
      <w:r>
        <w:separator/>
      </w:r>
    </w:p>
  </w:endnote>
  <w:endnote w:type="continuationSeparator" w:id="0">
    <w:p w14:paraId="5B342CDD" w14:textId="77777777" w:rsidR="00E449F0" w:rsidRDefault="00E449F0" w:rsidP="00001C9B">
      <w:pPr>
        <w:spacing w:after="0" w:line="240" w:lineRule="auto"/>
      </w:pPr>
      <w:r>
        <w:continuationSeparator/>
      </w:r>
    </w:p>
  </w:endnote>
  <w:endnote w:type="continuationNotice" w:id="1">
    <w:p w14:paraId="438E2FB5" w14:textId="77777777" w:rsidR="00E449F0" w:rsidRDefault="00E449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04E90" w14:textId="77777777" w:rsidR="00E449F0" w:rsidRDefault="00E449F0" w:rsidP="00001C9B">
      <w:pPr>
        <w:spacing w:after="0" w:line="240" w:lineRule="auto"/>
      </w:pPr>
      <w:r>
        <w:separator/>
      </w:r>
    </w:p>
  </w:footnote>
  <w:footnote w:type="continuationSeparator" w:id="0">
    <w:p w14:paraId="3A9DEA50" w14:textId="77777777" w:rsidR="00E449F0" w:rsidRDefault="00E449F0" w:rsidP="00001C9B">
      <w:pPr>
        <w:spacing w:after="0" w:line="240" w:lineRule="auto"/>
      </w:pPr>
      <w:r>
        <w:continuationSeparator/>
      </w:r>
    </w:p>
  </w:footnote>
  <w:footnote w:type="continuationNotice" w:id="1">
    <w:p w14:paraId="5361D6FB" w14:textId="77777777" w:rsidR="00E449F0" w:rsidRDefault="00E449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6C5421A"/>
    <w:multiLevelType w:val="multilevel"/>
    <w:tmpl w:val="2D10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B237C1"/>
    <w:multiLevelType w:val="hybridMultilevel"/>
    <w:tmpl w:val="6156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16823"/>
    <w:multiLevelType w:val="multilevel"/>
    <w:tmpl w:val="209EB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00" w:hanging="360"/>
      </w:pPr>
      <w:rPr>
        <w:rFonts w:ascii="Times New Roman" w:eastAsiaTheme="minorHAnsi" w:hAnsi="Times New Roman" w:cs="Times New Roman"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0667DF"/>
    <w:multiLevelType w:val="hybridMultilevel"/>
    <w:tmpl w:val="6BFAC14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FF151C1"/>
    <w:multiLevelType w:val="hybridMultilevel"/>
    <w:tmpl w:val="07AA747A"/>
    <w:lvl w:ilvl="0" w:tplc="E2486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A82E97"/>
    <w:multiLevelType w:val="hybridMultilevel"/>
    <w:tmpl w:val="26AA901C"/>
    <w:lvl w:ilvl="0" w:tplc="5E14804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F828BCE8"/>
    <w:lvl w:ilvl="0" w:tplc="8AE4E624">
      <w:start w:val="1"/>
      <w:numFmt w:val="decimal"/>
      <w:pStyle w:val="RAN4Observation"/>
      <w:suff w:val="space"/>
      <w:lvlText w:val="Observation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4E257B"/>
    <w:multiLevelType w:val="hybridMultilevel"/>
    <w:tmpl w:val="46D23F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A94646"/>
    <w:multiLevelType w:val="multilevel"/>
    <w:tmpl w:val="6FDA7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93468896"/>
    <w:lvl w:ilvl="0" w:tplc="839C5C86">
      <w:start w:val="1"/>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AF3F59"/>
    <w:multiLevelType w:val="hybridMultilevel"/>
    <w:tmpl w:val="F9828870"/>
    <w:lvl w:ilvl="0" w:tplc="04090017">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F576F6"/>
    <w:multiLevelType w:val="hybridMultilevel"/>
    <w:tmpl w:val="570CCBF0"/>
    <w:lvl w:ilvl="0" w:tplc="8144A53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85D6B"/>
    <w:multiLevelType w:val="multilevel"/>
    <w:tmpl w:val="223A6504"/>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16cid:durableId="1717195485">
    <w:abstractNumId w:val="2"/>
  </w:num>
  <w:num w:numId="2" w16cid:durableId="1817331927">
    <w:abstractNumId w:val="10"/>
  </w:num>
  <w:num w:numId="3" w16cid:durableId="843667942">
    <w:abstractNumId w:val="20"/>
  </w:num>
  <w:num w:numId="4" w16cid:durableId="1972127880">
    <w:abstractNumId w:val="9"/>
  </w:num>
  <w:num w:numId="5" w16cid:durableId="33894087">
    <w:abstractNumId w:val="24"/>
  </w:num>
  <w:num w:numId="6" w16cid:durableId="595985603">
    <w:abstractNumId w:val="16"/>
  </w:num>
  <w:num w:numId="7" w16cid:durableId="859396094">
    <w:abstractNumId w:val="19"/>
  </w:num>
  <w:num w:numId="8" w16cid:durableId="918519613">
    <w:abstractNumId w:val="19"/>
    <w:lvlOverride w:ilvl="0">
      <w:startOverride w:val="1"/>
    </w:lvlOverride>
  </w:num>
  <w:num w:numId="9" w16cid:durableId="1243948500">
    <w:abstractNumId w:val="19"/>
    <w:lvlOverride w:ilvl="0">
      <w:startOverride w:val="1"/>
    </w:lvlOverride>
  </w:num>
  <w:num w:numId="10" w16cid:durableId="705913832">
    <w:abstractNumId w:val="19"/>
    <w:lvlOverride w:ilvl="0">
      <w:startOverride w:val="1"/>
    </w:lvlOverride>
  </w:num>
  <w:num w:numId="11" w16cid:durableId="334113345">
    <w:abstractNumId w:val="16"/>
    <w:lvlOverride w:ilvl="0">
      <w:startOverride w:val="1"/>
    </w:lvlOverride>
  </w:num>
  <w:num w:numId="12" w16cid:durableId="1462109845">
    <w:abstractNumId w:val="19"/>
    <w:lvlOverride w:ilvl="0">
      <w:startOverride w:val="1"/>
    </w:lvlOverride>
  </w:num>
  <w:num w:numId="13" w16cid:durableId="699664912">
    <w:abstractNumId w:val="16"/>
    <w:lvlOverride w:ilvl="0">
      <w:startOverride w:val="1"/>
    </w:lvlOverride>
  </w:num>
  <w:num w:numId="14" w16cid:durableId="1337994692">
    <w:abstractNumId w:val="19"/>
    <w:lvlOverride w:ilvl="0">
      <w:startOverride w:val="1"/>
    </w:lvlOverride>
  </w:num>
  <w:num w:numId="15" w16cid:durableId="90470468">
    <w:abstractNumId w:val="25"/>
  </w:num>
  <w:num w:numId="16" w16cid:durableId="934172622">
    <w:abstractNumId w:val="7"/>
  </w:num>
  <w:num w:numId="17" w16cid:durableId="1950500441">
    <w:abstractNumId w:val="23"/>
  </w:num>
  <w:num w:numId="18" w16cid:durableId="185558337">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9596082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9110585">
    <w:abstractNumId w:val="15"/>
  </w:num>
  <w:num w:numId="21" w16cid:durableId="487476430">
    <w:abstractNumId w:val="21"/>
  </w:num>
  <w:num w:numId="22" w16cid:durableId="18092650">
    <w:abstractNumId w:val="16"/>
    <w:lvlOverride w:ilvl="0">
      <w:startOverride w:val="1"/>
    </w:lvlOverride>
  </w:num>
  <w:num w:numId="23" w16cid:durableId="2079398347">
    <w:abstractNumId w:val="19"/>
    <w:lvlOverride w:ilvl="0">
      <w:startOverride w:val="1"/>
    </w:lvlOverride>
  </w:num>
  <w:num w:numId="24" w16cid:durableId="1084645611">
    <w:abstractNumId w:val="4"/>
  </w:num>
  <w:num w:numId="25" w16cid:durableId="1045060584">
    <w:abstractNumId w:val="1"/>
  </w:num>
  <w:num w:numId="26" w16cid:durableId="1816098605">
    <w:abstractNumId w:val="1"/>
    <w:lvlOverride w:ilvl="0">
      <w:startOverride w:val="1"/>
    </w:lvlOverride>
  </w:num>
  <w:num w:numId="27" w16cid:durableId="451632975">
    <w:abstractNumId w:val="5"/>
  </w:num>
  <w:num w:numId="28" w16cid:durableId="849225329">
    <w:abstractNumId w:val="11"/>
  </w:num>
  <w:num w:numId="29" w16cid:durableId="477110584">
    <w:abstractNumId w:val="6"/>
  </w:num>
  <w:num w:numId="30" w16cid:durableId="1471939655">
    <w:abstractNumId w:val="0"/>
  </w:num>
  <w:num w:numId="31" w16cid:durableId="223490035">
    <w:abstractNumId w:val="17"/>
  </w:num>
  <w:num w:numId="32" w16cid:durableId="1761681441">
    <w:abstractNumId w:val="12"/>
  </w:num>
  <w:num w:numId="33" w16cid:durableId="1415317839">
    <w:abstractNumId w:val="13"/>
  </w:num>
  <w:num w:numId="34" w16cid:durableId="1948467400">
    <w:abstractNumId w:val="26"/>
  </w:num>
  <w:num w:numId="35" w16cid:durableId="1022852996">
    <w:abstractNumId w:val="14"/>
  </w:num>
  <w:num w:numId="36" w16cid:durableId="589461042">
    <w:abstractNumId w:val="18"/>
  </w:num>
  <w:num w:numId="37" w16cid:durableId="2027050162">
    <w:abstractNumId w:val="27"/>
  </w:num>
  <w:num w:numId="38" w16cid:durableId="1194345587">
    <w:abstractNumId w:val="22"/>
  </w:num>
  <w:num w:numId="39" w16cid:durableId="853500938">
    <w:abstractNumId w:val="3"/>
  </w:num>
  <w:num w:numId="40" w16cid:durableId="212538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0D03"/>
    <w:rsid w:val="00001C9B"/>
    <w:rsid w:val="00003EF6"/>
    <w:rsid w:val="000040DC"/>
    <w:rsid w:val="0000507C"/>
    <w:rsid w:val="00007E97"/>
    <w:rsid w:val="000151EF"/>
    <w:rsid w:val="0001741D"/>
    <w:rsid w:val="00017BFB"/>
    <w:rsid w:val="00021C48"/>
    <w:rsid w:val="000239F5"/>
    <w:rsid w:val="00030B3D"/>
    <w:rsid w:val="00032159"/>
    <w:rsid w:val="000365A8"/>
    <w:rsid w:val="00040FF2"/>
    <w:rsid w:val="00043EE1"/>
    <w:rsid w:val="0004504C"/>
    <w:rsid w:val="000464BF"/>
    <w:rsid w:val="000474AD"/>
    <w:rsid w:val="0005731D"/>
    <w:rsid w:val="00071C84"/>
    <w:rsid w:val="00080D1B"/>
    <w:rsid w:val="00082A24"/>
    <w:rsid w:val="000830E9"/>
    <w:rsid w:val="0008343A"/>
    <w:rsid w:val="00083D63"/>
    <w:rsid w:val="00084E80"/>
    <w:rsid w:val="0008612A"/>
    <w:rsid w:val="00090E18"/>
    <w:rsid w:val="0009685A"/>
    <w:rsid w:val="00097F56"/>
    <w:rsid w:val="000A000D"/>
    <w:rsid w:val="000A0011"/>
    <w:rsid w:val="000A10BC"/>
    <w:rsid w:val="000A2177"/>
    <w:rsid w:val="000A2D2A"/>
    <w:rsid w:val="000A399A"/>
    <w:rsid w:val="000A7D48"/>
    <w:rsid w:val="000B0056"/>
    <w:rsid w:val="000B345E"/>
    <w:rsid w:val="000B5050"/>
    <w:rsid w:val="000B53AF"/>
    <w:rsid w:val="000C04FC"/>
    <w:rsid w:val="000C3C7B"/>
    <w:rsid w:val="000C63F5"/>
    <w:rsid w:val="000D05F2"/>
    <w:rsid w:val="000D0F93"/>
    <w:rsid w:val="000D17B6"/>
    <w:rsid w:val="000D3851"/>
    <w:rsid w:val="000D3A56"/>
    <w:rsid w:val="000D7238"/>
    <w:rsid w:val="000E11F4"/>
    <w:rsid w:val="000E15DB"/>
    <w:rsid w:val="000E6F9D"/>
    <w:rsid w:val="000F31D8"/>
    <w:rsid w:val="000F37CB"/>
    <w:rsid w:val="000F45EB"/>
    <w:rsid w:val="000F5B8F"/>
    <w:rsid w:val="00106416"/>
    <w:rsid w:val="00107ED9"/>
    <w:rsid w:val="00110481"/>
    <w:rsid w:val="001127C9"/>
    <w:rsid w:val="00112CA4"/>
    <w:rsid w:val="00114D9E"/>
    <w:rsid w:val="00115B88"/>
    <w:rsid w:val="00117244"/>
    <w:rsid w:val="001201EE"/>
    <w:rsid w:val="00132F6A"/>
    <w:rsid w:val="00133913"/>
    <w:rsid w:val="00136270"/>
    <w:rsid w:val="00140221"/>
    <w:rsid w:val="00141B89"/>
    <w:rsid w:val="00147DEC"/>
    <w:rsid w:val="00147DF8"/>
    <w:rsid w:val="00150C6B"/>
    <w:rsid w:val="00151100"/>
    <w:rsid w:val="001525A2"/>
    <w:rsid w:val="00154A0E"/>
    <w:rsid w:val="00156290"/>
    <w:rsid w:val="00161E0C"/>
    <w:rsid w:val="001642FC"/>
    <w:rsid w:val="0016496B"/>
    <w:rsid w:val="0016767E"/>
    <w:rsid w:val="001743E2"/>
    <w:rsid w:val="001745F8"/>
    <w:rsid w:val="00177251"/>
    <w:rsid w:val="00182F5A"/>
    <w:rsid w:val="001838CF"/>
    <w:rsid w:val="001868EE"/>
    <w:rsid w:val="0019104A"/>
    <w:rsid w:val="001910D0"/>
    <w:rsid w:val="00192069"/>
    <w:rsid w:val="00193797"/>
    <w:rsid w:val="00195FEF"/>
    <w:rsid w:val="001A3BA4"/>
    <w:rsid w:val="001A3BAA"/>
    <w:rsid w:val="001A605B"/>
    <w:rsid w:val="001A6D1F"/>
    <w:rsid w:val="001B7C72"/>
    <w:rsid w:val="001C27B8"/>
    <w:rsid w:val="001D72D4"/>
    <w:rsid w:val="001E1714"/>
    <w:rsid w:val="001E30F6"/>
    <w:rsid w:val="001E3A66"/>
    <w:rsid w:val="001F265F"/>
    <w:rsid w:val="001F7AF7"/>
    <w:rsid w:val="002067AB"/>
    <w:rsid w:val="00210AD6"/>
    <w:rsid w:val="00211257"/>
    <w:rsid w:val="00211EEC"/>
    <w:rsid w:val="00217EE5"/>
    <w:rsid w:val="0022001A"/>
    <w:rsid w:val="00223116"/>
    <w:rsid w:val="0023180D"/>
    <w:rsid w:val="00232013"/>
    <w:rsid w:val="00234AE8"/>
    <w:rsid w:val="00235F5C"/>
    <w:rsid w:val="00245381"/>
    <w:rsid w:val="00250F8A"/>
    <w:rsid w:val="00252BFA"/>
    <w:rsid w:val="002553AC"/>
    <w:rsid w:val="00257773"/>
    <w:rsid w:val="00257B96"/>
    <w:rsid w:val="00257FA3"/>
    <w:rsid w:val="00261FD8"/>
    <w:rsid w:val="00263ABF"/>
    <w:rsid w:val="00265F79"/>
    <w:rsid w:val="00270B61"/>
    <w:rsid w:val="00277B56"/>
    <w:rsid w:val="002805AF"/>
    <w:rsid w:val="00280F7A"/>
    <w:rsid w:val="002A19F5"/>
    <w:rsid w:val="002A5769"/>
    <w:rsid w:val="002A6071"/>
    <w:rsid w:val="002B2C09"/>
    <w:rsid w:val="002B4922"/>
    <w:rsid w:val="002C211B"/>
    <w:rsid w:val="002C22C3"/>
    <w:rsid w:val="002C2D19"/>
    <w:rsid w:val="002C5109"/>
    <w:rsid w:val="002C5FDE"/>
    <w:rsid w:val="002D10FA"/>
    <w:rsid w:val="002D1326"/>
    <w:rsid w:val="002D4C55"/>
    <w:rsid w:val="002E61E7"/>
    <w:rsid w:val="002E6DED"/>
    <w:rsid w:val="002E7E04"/>
    <w:rsid w:val="002F0FBE"/>
    <w:rsid w:val="002F3D14"/>
    <w:rsid w:val="00300956"/>
    <w:rsid w:val="00301DC9"/>
    <w:rsid w:val="00302D40"/>
    <w:rsid w:val="0030500C"/>
    <w:rsid w:val="003052E4"/>
    <w:rsid w:val="00312E75"/>
    <w:rsid w:val="00312EE2"/>
    <w:rsid w:val="0031674C"/>
    <w:rsid w:val="00317187"/>
    <w:rsid w:val="0032499A"/>
    <w:rsid w:val="00325457"/>
    <w:rsid w:val="00327CCE"/>
    <w:rsid w:val="00333C2F"/>
    <w:rsid w:val="003341F7"/>
    <w:rsid w:val="00334B82"/>
    <w:rsid w:val="00336047"/>
    <w:rsid w:val="003407E3"/>
    <w:rsid w:val="003454D4"/>
    <w:rsid w:val="00347FEC"/>
    <w:rsid w:val="003500E9"/>
    <w:rsid w:val="0035040E"/>
    <w:rsid w:val="003504C2"/>
    <w:rsid w:val="00356ACC"/>
    <w:rsid w:val="00356F45"/>
    <w:rsid w:val="00357137"/>
    <w:rsid w:val="0036130E"/>
    <w:rsid w:val="00361E3D"/>
    <w:rsid w:val="00361FEB"/>
    <w:rsid w:val="00362F46"/>
    <w:rsid w:val="0036338D"/>
    <w:rsid w:val="00363CB8"/>
    <w:rsid w:val="003640B7"/>
    <w:rsid w:val="00366B74"/>
    <w:rsid w:val="0037376A"/>
    <w:rsid w:val="00381A48"/>
    <w:rsid w:val="0038311E"/>
    <w:rsid w:val="003873EA"/>
    <w:rsid w:val="00387F78"/>
    <w:rsid w:val="00395549"/>
    <w:rsid w:val="003A3BB7"/>
    <w:rsid w:val="003A4D06"/>
    <w:rsid w:val="003A5D4E"/>
    <w:rsid w:val="003A710A"/>
    <w:rsid w:val="003A72AE"/>
    <w:rsid w:val="003A773E"/>
    <w:rsid w:val="003B0763"/>
    <w:rsid w:val="003B19AF"/>
    <w:rsid w:val="003B46BD"/>
    <w:rsid w:val="003B482F"/>
    <w:rsid w:val="003B659E"/>
    <w:rsid w:val="003B73E5"/>
    <w:rsid w:val="003C1496"/>
    <w:rsid w:val="003C275E"/>
    <w:rsid w:val="003C4F46"/>
    <w:rsid w:val="003D1A59"/>
    <w:rsid w:val="003D1C65"/>
    <w:rsid w:val="003D2429"/>
    <w:rsid w:val="003D7FA5"/>
    <w:rsid w:val="003E1EB3"/>
    <w:rsid w:val="003E2991"/>
    <w:rsid w:val="003E452C"/>
    <w:rsid w:val="003E45A1"/>
    <w:rsid w:val="003E58DF"/>
    <w:rsid w:val="003F30BA"/>
    <w:rsid w:val="003F52AB"/>
    <w:rsid w:val="0040133F"/>
    <w:rsid w:val="00404C4C"/>
    <w:rsid w:val="004075CC"/>
    <w:rsid w:val="00407CFD"/>
    <w:rsid w:val="0041423F"/>
    <w:rsid w:val="00414F81"/>
    <w:rsid w:val="004156A8"/>
    <w:rsid w:val="004159DA"/>
    <w:rsid w:val="0041790C"/>
    <w:rsid w:val="00420B12"/>
    <w:rsid w:val="00422B72"/>
    <w:rsid w:val="004267F3"/>
    <w:rsid w:val="004271CD"/>
    <w:rsid w:val="00427319"/>
    <w:rsid w:val="00431EFB"/>
    <w:rsid w:val="00434BEC"/>
    <w:rsid w:val="00436A0F"/>
    <w:rsid w:val="00437150"/>
    <w:rsid w:val="0043750A"/>
    <w:rsid w:val="004463CC"/>
    <w:rsid w:val="00446530"/>
    <w:rsid w:val="00446C4D"/>
    <w:rsid w:val="004476C7"/>
    <w:rsid w:val="00451A9B"/>
    <w:rsid w:val="004521A6"/>
    <w:rsid w:val="00455EDC"/>
    <w:rsid w:val="00456130"/>
    <w:rsid w:val="00456D18"/>
    <w:rsid w:val="004627C3"/>
    <w:rsid w:val="00465EE2"/>
    <w:rsid w:val="0046690F"/>
    <w:rsid w:val="00472834"/>
    <w:rsid w:val="004732E9"/>
    <w:rsid w:val="00473B73"/>
    <w:rsid w:val="00484F48"/>
    <w:rsid w:val="004854BB"/>
    <w:rsid w:val="00485CDD"/>
    <w:rsid w:val="0048615C"/>
    <w:rsid w:val="00487226"/>
    <w:rsid w:val="00496606"/>
    <w:rsid w:val="004A6025"/>
    <w:rsid w:val="004A77CB"/>
    <w:rsid w:val="004B6963"/>
    <w:rsid w:val="004B784A"/>
    <w:rsid w:val="004C11D9"/>
    <w:rsid w:val="004C62C8"/>
    <w:rsid w:val="004C62CE"/>
    <w:rsid w:val="004C7314"/>
    <w:rsid w:val="004D0C6D"/>
    <w:rsid w:val="004D1894"/>
    <w:rsid w:val="004D713B"/>
    <w:rsid w:val="004E121F"/>
    <w:rsid w:val="004E5E66"/>
    <w:rsid w:val="004E7ADB"/>
    <w:rsid w:val="004F59BF"/>
    <w:rsid w:val="004F634A"/>
    <w:rsid w:val="005025C3"/>
    <w:rsid w:val="00503B4D"/>
    <w:rsid w:val="00504EE9"/>
    <w:rsid w:val="00511855"/>
    <w:rsid w:val="00521576"/>
    <w:rsid w:val="00521AEC"/>
    <w:rsid w:val="005250E6"/>
    <w:rsid w:val="0052689D"/>
    <w:rsid w:val="00530013"/>
    <w:rsid w:val="00531492"/>
    <w:rsid w:val="0054183D"/>
    <w:rsid w:val="00542D23"/>
    <w:rsid w:val="0054442C"/>
    <w:rsid w:val="00550285"/>
    <w:rsid w:val="00550831"/>
    <w:rsid w:val="00554FCF"/>
    <w:rsid w:val="00562492"/>
    <w:rsid w:val="0056336A"/>
    <w:rsid w:val="00564707"/>
    <w:rsid w:val="00570FD0"/>
    <w:rsid w:val="0057232C"/>
    <w:rsid w:val="00572A20"/>
    <w:rsid w:val="00573065"/>
    <w:rsid w:val="00576A95"/>
    <w:rsid w:val="00577C90"/>
    <w:rsid w:val="005836F8"/>
    <w:rsid w:val="0058791B"/>
    <w:rsid w:val="005918FA"/>
    <w:rsid w:val="00592A86"/>
    <w:rsid w:val="005937EF"/>
    <w:rsid w:val="005A209D"/>
    <w:rsid w:val="005A53D7"/>
    <w:rsid w:val="005A5B52"/>
    <w:rsid w:val="005B0D92"/>
    <w:rsid w:val="005B2D58"/>
    <w:rsid w:val="005B3510"/>
    <w:rsid w:val="005B3B02"/>
    <w:rsid w:val="005B4801"/>
    <w:rsid w:val="005C23A4"/>
    <w:rsid w:val="005D1014"/>
    <w:rsid w:val="005D1467"/>
    <w:rsid w:val="005D1CDF"/>
    <w:rsid w:val="005D2BB7"/>
    <w:rsid w:val="005D6131"/>
    <w:rsid w:val="005D79FE"/>
    <w:rsid w:val="005E61A8"/>
    <w:rsid w:val="005F496D"/>
    <w:rsid w:val="005F6419"/>
    <w:rsid w:val="0060029F"/>
    <w:rsid w:val="0060468C"/>
    <w:rsid w:val="0060481A"/>
    <w:rsid w:val="00604928"/>
    <w:rsid w:val="0060543D"/>
    <w:rsid w:val="00610493"/>
    <w:rsid w:val="006104DD"/>
    <w:rsid w:val="006130B5"/>
    <w:rsid w:val="00615863"/>
    <w:rsid w:val="00616324"/>
    <w:rsid w:val="00617400"/>
    <w:rsid w:val="0062391C"/>
    <w:rsid w:val="00625416"/>
    <w:rsid w:val="00625C75"/>
    <w:rsid w:val="00626CA0"/>
    <w:rsid w:val="00630F77"/>
    <w:rsid w:val="00632D29"/>
    <w:rsid w:val="006463AF"/>
    <w:rsid w:val="00646539"/>
    <w:rsid w:val="0065138E"/>
    <w:rsid w:val="006516F2"/>
    <w:rsid w:val="00651E31"/>
    <w:rsid w:val="00653D94"/>
    <w:rsid w:val="00653F3D"/>
    <w:rsid w:val="006557D3"/>
    <w:rsid w:val="0066191C"/>
    <w:rsid w:val="00664950"/>
    <w:rsid w:val="006665EF"/>
    <w:rsid w:val="00667165"/>
    <w:rsid w:val="006678C3"/>
    <w:rsid w:val="00675C32"/>
    <w:rsid w:val="006810FD"/>
    <w:rsid w:val="00683220"/>
    <w:rsid w:val="00687FA0"/>
    <w:rsid w:val="00697C5B"/>
    <w:rsid w:val="006A3234"/>
    <w:rsid w:val="006A3ACC"/>
    <w:rsid w:val="006A3C11"/>
    <w:rsid w:val="006A46E3"/>
    <w:rsid w:val="006A585F"/>
    <w:rsid w:val="006A7C80"/>
    <w:rsid w:val="006B0B06"/>
    <w:rsid w:val="006B2A5C"/>
    <w:rsid w:val="006B7010"/>
    <w:rsid w:val="006B76AB"/>
    <w:rsid w:val="006C1F7B"/>
    <w:rsid w:val="006C3095"/>
    <w:rsid w:val="006D6D39"/>
    <w:rsid w:val="006D7290"/>
    <w:rsid w:val="006E1151"/>
    <w:rsid w:val="006E250E"/>
    <w:rsid w:val="006E3E1E"/>
    <w:rsid w:val="006E4729"/>
    <w:rsid w:val="006E6311"/>
    <w:rsid w:val="006F3DBF"/>
    <w:rsid w:val="006F6330"/>
    <w:rsid w:val="00701C54"/>
    <w:rsid w:val="00702BB7"/>
    <w:rsid w:val="0070650A"/>
    <w:rsid w:val="00713E9C"/>
    <w:rsid w:val="007145FF"/>
    <w:rsid w:val="00714BE4"/>
    <w:rsid w:val="00715B2A"/>
    <w:rsid w:val="00717618"/>
    <w:rsid w:val="0072215B"/>
    <w:rsid w:val="007257F0"/>
    <w:rsid w:val="00727320"/>
    <w:rsid w:val="00730238"/>
    <w:rsid w:val="007331AC"/>
    <w:rsid w:val="007441C4"/>
    <w:rsid w:val="007450F1"/>
    <w:rsid w:val="00745313"/>
    <w:rsid w:val="00746C48"/>
    <w:rsid w:val="00751515"/>
    <w:rsid w:val="00753BCA"/>
    <w:rsid w:val="00754AC3"/>
    <w:rsid w:val="00754F63"/>
    <w:rsid w:val="007626B7"/>
    <w:rsid w:val="0076317F"/>
    <w:rsid w:val="00770333"/>
    <w:rsid w:val="007719D7"/>
    <w:rsid w:val="007728A5"/>
    <w:rsid w:val="00773CDD"/>
    <w:rsid w:val="00775435"/>
    <w:rsid w:val="007766D7"/>
    <w:rsid w:val="00777E35"/>
    <w:rsid w:val="00780787"/>
    <w:rsid w:val="0078212B"/>
    <w:rsid w:val="00784DF6"/>
    <w:rsid w:val="00785232"/>
    <w:rsid w:val="00792458"/>
    <w:rsid w:val="007A0DEB"/>
    <w:rsid w:val="007A25A7"/>
    <w:rsid w:val="007B186C"/>
    <w:rsid w:val="007B38B6"/>
    <w:rsid w:val="007B3C3D"/>
    <w:rsid w:val="007B60ED"/>
    <w:rsid w:val="007C1696"/>
    <w:rsid w:val="007C3ED0"/>
    <w:rsid w:val="007C5971"/>
    <w:rsid w:val="007C6961"/>
    <w:rsid w:val="007D3524"/>
    <w:rsid w:val="007D5168"/>
    <w:rsid w:val="007E40A0"/>
    <w:rsid w:val="007F1C43"/>
    <w:rsid w:val="007F2D18"/>
    <w:rsid w:val="007F54B9"/>
    <w:rsid w:val="007F58AD"/>
    <w:rsid w:val="008041E3"/>
    <w:rsid w:val="00804A9B"/>
    <w:rsid w:val="008063E1"/>
    <w:rsid w:val="00806A76"/>
    <w:rsid w:val="00811336"/>
    <w:rsid w:val="00811C9D"/>
    <w:rsid w:val="00812C82"/>
    <w:rsid w:val="00816649"/>
    <w:rsid w:val="008169D6"/>
    <w:rsid w:val="00816C80"/>
    <w:rsid w:val="00817427"/>
    <w:rsid w:val="00821498"/>
    <w:rsid w:val="00825A9D"/>
    <w:rsid w:val="00833C13"/>
    <w:rsid w:val="00841BCD"/>
    <w:rsid w:val="00851A8E"/>
    <w:rsid w:val="0085365B"/>
    <w:rsid w:val="00856826"/>
    <w:rsid w:val="00872950"/>
    <w:rsid w:val="00881569"/>
    <w:rsid w:val="008824E4"/>
    <w:rsid w:val="008826C1"/>
    <w:rsid w:val="00883DFD"/>
    <w:rsid w:val="00886E99"/>
    <w:rsid w:val="008A0E6D"/>
    <w:rsid w:val="008A1BF7"/>
    <w:rsid w:val="008A3E5A"/>
    <w:rsid w:val="008A5B0E"/>
    <w:rsid w:val="008A6EE1"/>
    <w:rsid w:val="008B0961"/>
    <w:rsid w:val="008C3935"/>
    <w:rsid w:val="008C4C79"/>
    <w:rsid w:val="008D1232"/>
    <w:rsid w:val="008D1C83"/>
    <w:rsid w:val="008D315F"/>
    <w:rsid w:val="008D34C7"/>
    <w:rsid w:val="008D66A7"/>
    <w:rsid w:val="008E282E"/>
    <w:rsid w:val="008E34A9"/>
    <w:rsid w:val="008E39AF"/>
    <w:rsid w:val="008E53E7"/>
    <w:rsid w:val="008E6C2F"/>
    <w:rsid w:val="008F2B4C"/>
    <w:rsid w:val="008F50C0"/>
    <w:rsid w:val="00900206"/>
    <w:rsid w:val="0090091A"/>
    <w:rsid w:val="00900CAB"/>
    <w:rsid w:val="0090113B"/>
    <w:rsid w:val="009012A5"/>
    <w:rsid w:val="009042BD"/>
    <w:rsid w:val="009051B6"/>
    <w:rsid w:val="00905D15"/>
    <w:rsid w:val="00907C72"/>
    <w:rsid w:val="009149F0"/>
    <w:rsid w:val="0091559E"/>
    <w:rsid w:val="0091703B"/>
    <w:rsid w:val="00917786"/>
    <w:rsid w:val="009206DC"/>
    <w:rsid w:val="009238D7"/>
    <w:rsid w:val="009276D7"/>
    <w:rsid w:val="009329C0"/>
    <w:rsid w:val="00936159"/>
    <w:rsid w:val="00937259"/>
    <w:rsid w:val="00951AB9"/>
    <w:rsid w:val="00957973"/>
    <w:rsid w:val="00970FD9"/>
    <w:rsid w:val="009722B5"/>
    <w:rsid w:val="00974877"/>
    <w:rsid w:val="00976FE9"/>
    <w:rsid w:val="00977E1D"/>
    <w:rsid w:val="00987272"/>
    <w:rsid w:val="00991EE7"/>
    <w:rsid w:val="00993AD9"/>
    <w:rsid w:val="009A52CC"/>
    <w:rsid w:val="009B0573"/>
    <w:rsid w:val="009B3CC7"/>
    <w:rsid w:val="009B6E05"/>
    <w:rsid w:val="009B7B4B"/>
    <w:rsid w:val="009B7C21"/>
    <w:rsid w:val="009C5874"/>
    <w:rsid w:val="009C7C25"/>
    <w:rsid w:val="009E02C9"/>
    <w:rsid w:val="009E0F96"/>
    <w:rsid w:val="009E2221"/>
    <w:rsid w:val="009E6258"/>
    <w:rsid w:val="009F339B"/>
    <w:rsid w:val="009F5861"/>
    <w:rsid w:val="00A04992"/>
    <w:rsid w:val="00A133F2"/>
    <w:rsid w:val="00A141DD"/>
    <w:rsid w:val="00A147AA"/>
    <w:rsid w:val="00A151DF"/>
    <w:rsid w:val="00A17E6F"/>
    <w:rsid w:val="00A2118B"/>
    <w:rsid w:val="00A21D71"/>
    <w:rsid w:val="00A22B78"/>
    <w:rsid w:val="00A23CA8"/>
    <w:rsid w:val="00A2533F"/>
    <w:rsid w:val="00A255F1"/>
    <w:rsid w:val="00A25AE5"/>
    <w:rsid w:val="00A274C0"/>
    <w:rsid w:val="00A3059C"/>
    <w:rsid w:val="00A30D99"/>
    <w:rsid w:val="00A357ED"/>
    <w:rsid w:val="00A37002"/>
    <w:rsid w:val="00A4355E"/>
    <w:rsid w:val="00A546B9"/>
    <w:rsid w:val="00A620A5"/>
    <w:rsid w:val="00A64325"/>
    <w:rsid w:val="00A65E19"/>
    <w:rsid w:val="00A65E96"/>
    <w:rsid w:val="00A66EF3"/>
    <w:rsid w:val="00A7247E"/>
    <w:rsid w:val="00A73817"/>
    <w:rsid w:val="00A81701"/>
    <w:rsid w:val="00A87D17"/>
    <w:rsid w:val="00A90703"/>
    <w:rsid w:val="00A92BA5"/>
    <w:rsid w:val="00A92BCD"/>
    <w:rsid w:val="00AA0337"/>
    <w:rsid w:val="00AA0E3A"/>
    <w:rsid w:val="00AA1B0E"/>
    <w:rsid w:val="00AA47B6"/>
    <w:rsid w:val="00AA512F"/>
    <w:rsid w:val="00AB0083"/>
    <w:rsid w:val="00AB4DBE"/>
    <w:rsid w:val="00AC06B7"/>
    <w:rsid w:val="00AC163B"/>
    <w:rsid w:val="00AC5CA7"/>
    <w:rsid w:val="00AC5D0B"/>
    <w:rsid w:val="00AC6058"/>
    <w:rsid w:val="00AD1007"/>
    <w:rsid w:val="00AD31FF"/>
    <w:rsid w:val="00AD7D69"/>
    <w:rsid w:val="00AE261D"/>
    <w:rsid w:val="00AE2BA5"/>
    <w:rsid w:val="00AE405A"/>
    <w:rsid w:val="00AE56B1"/>
    <w:rsid w:val="00AE5F8F"/>
    <w:rsid w:val="00AE6D09"/>
    <w:rsid w:val="00AF5F00"/>
    <w:rsid w:val="00AF7A7C"/>
    <w:rsid w:val="00B004A9"/>
    <w:rsid w:val="00B03514"/>
    <w:rsid w:val="00B1398C"/>
    <w:rsid w:val="00B24543"/>
    <w:rsid w:val="00B254C9"/>
    <w:rsid w:val="00B272C6"/>
    <w:rsid w:val="00B27819"/>
    <w:rsid w:val="00B3367A"/>
    <w:rsid w:val="00B408B6"/>
    <w:rsid w:val="00B40D27"/>
    <w:rsid w:val="00B519FA"/>
    <w:rsid w:val="00B53B7E"/>
    <w:rsid w:val="00B542DA"/>
    <w:rsid w:val="00B62F3A"/>
    <w:rsid w:val="00B63DE5"/>
    <w:rsid w:val="00B67111"/>
    <w:rsid w:val="00B7270D"/>
    <w:rsid w:val="00B73862"/>
    <w:rsid w:val="00B73F43"/>
    <w:rsid w:val="00B7544C"/>
    <w:rsid w:val="00B754DE"/>
    <w:rsid w:val="00B763A6"/>
    <w:rsid w:val="00B80CA6"/>
    <w:rsid w:val="00B8153C"/>
    <w:rsid w:val="00B8487D"/>
    <w:rsid w:val="00B87B51"/>
    <w:rsid w:val="00B9257C"/>
    <w:rsid w:val="00B94668"/>
    <w:rsid w:val="00B96A25"/>
    <w:rsid w:val="00BA11A3"/>
    <w:rsid w:val="00BA6B66"/>
    <w:rsid w:val="00BA6E48"/>
    <w:rsid w:val="00BB2BFF"/>
    <w:rsid w:val="00BB4615"/>
    <w:rsid w:val="00BB4D15"/>
    <w:rsid w:val="00BB4DA2"/>
    <w:rsid w:val="00BC2622"/>
    <w:rsid w:val="00BD6EB0"/>
    <w:rsid w:val="00BE0AF6"/>
    <w:rsid w:val="00BE1F03"/>
    <w:rsid w:val="00BE3CA8"/>
    <w:rsid w:val="00BE4E72"/>
    <w:rsid w:val="00BE58A7"/>
    <w:rsid w:val="00BF2218"/>
    <w:rsid w:val="00BF2324"/>
    <w:rsid w:val="00BF5239"/>
    <w:rsid w:val="00BF7CC7"/>
    <w:rsid w:val="00C009F6"/>
    <w:rsid w:val="00C0426B"/>
    <w:rsid w:val="00C045DF"/>
    <w:rsid w:val="00C04F87"/>
    <w:rsid w:val="00C05192"/>
    <w:rsid w:val="00C063D4"/>
    <w:rsid w:val="00C1163C"/>
    <w:rsid w:val="00C16468"/>
    <w:rsid w:val="00C17382"/>
    <w:rsid w:val="00C20E90"/>
    <w:rsid w:val="00C214A5"/>
    <w:rsid w:val="00C226CE"/>
    <w:rsid w:val="00C26D43"/>
    <w:rsid w:val="00C26E96"/>
    <w:rsid w:val="00C338F5"/>
    <w:rsid w:val="00C34034"/>
    <w:rsid w:val="00C46548"/>
    <w:rsid w:val="00C503E4"/>
    <w:rsid w:val="00C52134"/>
    <w:rsid w:val="00C522E9"/>
    <w:rsid w:val="00C574D5"/>
    <w:rsid w:val="00C630BB"/>
    <w:rsid w:val="00C65BC9"/>
    <w:rsid w:val="00C65E2C"/>
    <w:rsid w:val="00C6619B"/>
    <w:rsid w:val="00C66AA0"/>
    <w:rsid w:val="00C73F32"/>
    <w:rsid w:val="00C80E9A"/>
    <w:rsid w:val="00C83E3A"/>
    <w:rsid w:val="00C8508E"/>
    <w:rsid w:val="00C853B2"/>
    <w:rsid w:val="00C87462"/>
    <w:rsid w:val="00C87EF7"/>
    <w:rsid w:val="00CA180C"/>
    <w:rsid w:val="00CA2720"/>
    <w:rsid w:val="00CA4814"/>
    <w:rsid w:val="00CB22B2"/>
    <w:rsid w:val="00CB518D"/>
    <w:rsid w:val="00CB726C"/>
    <w:rsid w:val="00CB763A"/>
    <w:rsid w:val="00CC3EE2"/>
    <w:rsid w:val="00CC7E97"/>
    <w:rsid w:val="00CD2427"/>
    <w:rsid w:val="00CD2F2D"/>
    <w:rsid w:val="00CD38A3"/>
    <w:rsid w:val="00CD7492"/>
    <w:rsid w:val="00CE1E64"/>
    <w:rsid w:val="00CE3A6B"/>
    <w:rsid w:val="00CE4D95"/>
    <w:rsid w:val="00CE50DD"/>
    <w:rsid w:val="00D00211"/>
    <w:rsid w:val="00D01530"/>
    <w:rsid w:val="00D01A2C"/>
    <w:rsid w:val="00D05CB8"/>
    <w:rsid w:val="00D06309"/>
    <w:rsid w:val="00D07467"/>
    <w:rsid w:val="00D1508B"/>
    <w:rsid w:val="00D161B1"/>
    <w:rsid w:val="00D17AB4"/>
    <w:rsid w:val="00D213AA"/>
    <w:rsid w:val="00D22948"/>
    <w:rsid w:val="00D3322E"/>
    <w:rsid w:val="00D351EA"/>
    <w:rsid w:val="00D40288"/>
    <w:rsid w:val="00D405A2"/>
    <w:rsid w:val="00D41CE3"/>
    <w:rsid w:val="00D43403"/>
    <w:rsid w:val="00D51C96"/>
    <w:rsid w:val="00D5270B"/>
    <w:rsid w:val="00D528C3"/>
    <w:rsid w:val="00D57CE1"/>
    <w:rsid w:val="00D62E71"/>
    <w:rsid w:val="00D6430D"/>
    <w:rsid w:val="00D64715"/>
    <w:rsid w:val="00D65BF1"/>
    <w:rsid w:val="00D66188"/>
    <w:rsid w:val="00D66595"/>
    <w:rsid w:val="00D7045A"/>
    <w:rsid w:val="00D7170A"/>
    <w:rsid w:val="00D731F6"/>
    <w:rsid w:val="00D740CA"/>
    <w:rsid w:val="00D7636C"/>
    <w:rsid w:val="00D83356"/>
    <w:rsid w:val="00D85728"/>
    <w:rsid w:val="00D95481"/>
    <w:rsid w:val="00D97699"/>
    <w:rsid w:val="00D97DCE"/>
    <w:rsid w:val="00DA5F08"/>
    <w:rsid w:val="00DB1805"/>
    <w:rsid w:val="00DB1FCD"/>
    <w:rsid w:val="00DB375D"/>
    <w:rsid w:val="00DB6926"/>
    <w:rsid w:val="00DC355D"/>
    <w:rsid w:val="00DC3663"/>
    <w:rsid w:val="00DC380A"/>
    <w:rsid w:val="00DC7A13"/>
    <w:rsid w:val="00DD1F87"/>
    <w:rsid w:val="00DD33D7"/>
    <w:rsid w:val="00DE021B"/>
    <w:rsid w:val="00DE7A58"/>
    <w:rsid w:val="00DF09A0"/>
    <w:rsid w:val="00DF234A"/>
    <w:rsid w:val="00DF2997"/>
    <w:rsid w:val="00E02304"/>
    <w:rsid w:val="00E10BC4"/>
    <w:rsid w:val="00E10F0B"/>
    <w:rsid w:val="00E112DF"/>
    <w:rsid w:val="00E12BC6"/>
    <w:rsid w:val="00E1415D"/>
    <w:rsid w:val="00E15668"/>
    <w:rsid w:val="00E20E17"/>
    <w:rsid w:val="00E2172E"/>
    <w:rsid w:val="00E2457E"/>
    <w:rsid w:val="00E25E23"/>
    <w:rsid w:val="00E265F7"/>
    <w:rsid w:val="00E323E9"/>
    <w:rsid w:val="00E32F1B"/>
    <w:rsid w:val="00E34018"/>
    <w:rsid w:val="00E34BAD"/>
    <w:rsid w:val="00E3586C"/>
    <w:rsid w:val="00E369F8"/>
    <w:rsid w:val="00E437D2"/>
    <w:rsid w:val="00E449F0"/>
    <w:rsid w:val="00E46734"/>
    <w:rsid w:val="00E52782"/>
    <w:rsid w:val="00E55751"/>
    <w:rsid w:val="00E56DC2"/>
    <w:rsid w:val="00E57313"/>
    <w:rsid w:val="00E5759B"/>
    <w:rsid w:val="00E61212"/>
    <w:rsid w:val="00E7150B"/>
    <w:rsid w:val="00E72C0F"/>
    <w:rsid w:val="00E83FB2"/>
    <w:rsid w:val="00E84424"/>
    <w:rsid w:val="00E91156"/>
    <w:rsid w:val="00E930D0"/>
    <w:rsid w:val="00E95953"/>
    <w:rsid w:val="00EA1AFC"/>
    <w:rsid w:val="00EA2311"/>
    <w:rsid w:val="00EA26BB"/>
    <w:rsid w:val="00EA3C02"/>
    <w:rsid w:val="00EA761C"/>
    <w:rsid w:val="00EB34E1"/>
    <w:rsid w:val="00EB683D"/>
    <w:rsid w:val="00EC4FE0"/>
    <w:rsid w:val="00EC5D0D"/>
    <w:rsid w:val="00EC5D6B"/>
    <w:rsid w:val="00EC7BC3"/>
    <w:rsid w:val="00ED43A1"/>
    <w:rsid w:val="00ED496A"/>
    <w:rsid w:val="00ED57FE"/>
    <w:rsid w:val="00ED7600"/>
    <w:rsid w:val="00ED7801"/>
    <w:rsid w:val="00EE51DC"/>
    <w:rsid w:val="00EE5A09"/>
    <w:rsid w:val="00EF189D"/>
    <w:rsid w:val="00EF34E4"/>
    <w:rsid w:val="00EF3927"/>
    <w:rsid w:val="00EF6073"/>
    <w:rsid w:val="00EF6833"/>
    <w:rsid w:val="00EF698B"/>
    <w:rsid w:val="00F017A7"/>
    <w:rsid w:val="00F103C0"/>
    <w:rsid w:val="00F11D0E"/>
    <w:rsid w:val="00F1362C"/>
    <w:rsid w:val="00F15EF4"/>
    <w:rsid w:val="00F22F7A"/>
    <w:rsid w:val="00F2312B"/>
    <w:rsid w:val="00F27181"/>
    <w:rsid w:val="00F3301B"/>
    <w:rsid w:val="00F406AB"/>
    <w:rsid w:val="00F40CF3"/>
    <w:rsid w:val="00F40E6F"/>
    <w:rsid w:val="00F414F1"/>
    <w:rsid w:val="00F442A9"/>
    <w:rsid w:val="00F44544"/>
    <w:rsid w:val="00F44733"/>
    <w:rsid w:val="00F457A7"/>
    <w:rsid w:val="00F508B8"/>
    <w:rsid w:val="00F53DF9"/>
    <w:rsid w:val="00F54F09"/>
    <w:rsid w:val="00F572DA"/>
    <w:rsid w:val="00F6104D"/>
    <w:rsid w:val="00F63F79"/>
    <w:rsid w:val="00F6691B"/>
    <w:rsid w:val="00F72CB1"/>
    <w:rsid w:val="00F743D3"/>
    <w:rsid w:val="00F748C9"/>
    <w:rsid w:val="00F8215E"/>
    <w:rsid w:val="00F824F5"/>
    <w:rsid w:val="00F873FE"/>
    <w:rsid w:val="00F90616"/>
    <w:rsid w:val="00F9081E"/>
    <w:rsid w:val="00F9343E"/>
    <w:rsid w:val="00F9374D"/>
    <w:rsid w:val="00FA116F"/>
    <w:rsid w:val="00FA7EF0"/>
    <w:rsid w:val="00FB54FF"/>
    <w:rsid w:val="00FB71D6"/>
    <w:rsid w:val="00FC2990"/>
    <w:rsid w:val="00FC29B9"/>
    <w:rsid w:val="00FC4649"/>
    <w:rsid w:val="00FC6FD3"/>
    <w:rsid w:val="00FD1402"/>
    <w:rsid w:val="00FD40B9"/>
    <w:rsid w:val="00FD4273"/>
    <w:rsid w:val="00FD6AF9"/>
    <w:rsid w:val="00FD715B"/>
    <w:rsid w:val="00FE01AD"/>
    <w:rsid w:val="00FE305C"/>
    <w:rsid w:val="00FE6544"/>
    <w:rsid w:val="00FE6B43"/>
    <w:rsid w:val="00FF0301"/>
    <w:rsid w:val="00FF654E"/>
    <w:rsid w:val="00FF6912"/>
    <w:rsid w:val="00FF79C8"/>
    <w:rsid w:val="30D58716"/>
    <w:rsid w:val="34E6B0C4"/>
    <w:rsid w:val="4E1295FA"/>
    <w:rsid w:val="5602FCA5"/>
    <w:rsid w:val="5F2FF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Figure cap"/>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Figure cap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627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customStyle="1" w:styleId="B1">
    <w:name w:val="B1"/>
    <w:basedOn w:val="List"/>
    <w:link w:val="B1Char"/>
    <w:qFormat/>
    <w:rsid w:val="0046690F"/>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rPr>
  </w:style>
  <w:style w:type="character" w:customStyle="1" w:styleId="B1Char">
    <w:name w:val="B1 Char"/>
    <w:link w:val="B1"/>
    <w:qFormat/>
    <w:rsid w:val="0046690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6690F"/>
    <w:pPr>
      <w:ind w:left="360" w:hanging="360"/>
      <w:contextualSpacing/>
    </w:pPr>
  </w:style>
  <w:style w:type="character" w:customStyle="1" w:styleId="eop">
    <w:name w:val="eop"/>
    <w:basedOn w:val="DefaultParagraphFont"/>
    <w:rsid w:val="007257F0"/>
  </w:style>
  <w:style w:type="character" w:customStyle="1" w:styleId="normaltextrun">
    <w:name w:val="normaltextrun"/>
    <w:basedOn w:val="DefaultParagraphFont"/>
    <w:rsid w:val="00D05CB8"/>
  </w:style>
  <w:style w:type="paragraph" w:customStyle="1" w:styleId="B2">
    <w:name w:val="B2"/>
    <w:basedOn w:val="List2"/>
    <w:link w:val="B2Char"/>
    <w:rsid w:val="00D05CB8"/>
    <w:pPr>
      <w:overflowPunct w:val="0"/>
      <w:autoSpaceDE w:val="0"/>
      <w:autoSpaceDN w:val="0"/>
      <w:adjustRightInd w:val="0"/>
      <w:spacing w:after="180" w:line="240" w:lineRule="auto"/>
      <w:ind w:left="851" w:hanging="284"/>
      <w:contextualSpacing w:val="0"/>
      <w:jc w:val="left"/>
      <w:textAlignment w:val="baseline"/>
    </w:pPr>
    <w:rPr>
      <w:rFonts w:eastAsia="Times New Roman" w:cs="Times New Roman"/>
      <w:szCs w:val="20"/>
      <w:lang w:val="en-GB"/>
    </w:rPr>
  </w:style>
  <w:style w:type="paragraph" w:customStyle="1" w:styleId="B3">
    <w:name w:val="B3"/>
    <w:basedOn w:val="List3"/>
    <w:link w:val="B3Char"/>
    <w:rsid w:val="00D05CB8"/>
    <w:pPr>
      <w:overflowPunct w:val="0"/>
      <w:autoSpaceDE w:val="0"/>
      <w:autoSpaceDN w:val="0"/>
      <w:adjustRightInd w:val="0"/>
      <w:spacing w:after="180" w:line="240" w:lineRule="auto"/>
      <w:ind w:left="1135" w:hanging="284"/>
      <w:contextualSpacing w:val="0"/>
      <w:jc w:val="left"/>
      <w:textAlignment w:val="baseline"/>
    </w:pPr>
    <w:rPr>
      <w:rFonts w:eastAsia="Times New Roman" w:cs="Times New Roman"/>
      <w:szCs w:val="20"/>
      <w:lang w:val="en-GB"/>
    </w:rPr>
  </w:style>
  <w:style w:type="character" w:customStyle="1" w:styleId="B2Char">
    <w:name w:val="B2 Char"/>
    <w:link w:val="B2"/>
    <w:qFormat/>
    <w:rsid w:val="00D05CB8"/>
    <w:rPr>
      <w:rFonts w:ascii="Times New Roman" w:eastAsia="Times New Roman" w:hAnsi="Times New Roman" w:cs="Times New Roman"/>
      <w:sz w:val="20"/>
      <w:szCs w:val="20"/>
      <w:lang w:val="en-GB"/>
    </w:rPr>
  </w:style>
  <w:style w:type="character" w:customStyle="1" w:styleId="B3Char">
    <w:name w:val="B3 Char"/>
    <w:link w:val="B3"/>
    <w:qFormat/>
    <w:locked/>
    <w:rsid w:val="00D05CB8"/>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D05CB8"/>
    <w:pPr>
      <w:ind w:left="720" w:hanging="360"/>
      <w:contextualSpacing/>
    </w:pPr>
  </w:style>
  <w:style w:type="paragraph" w:styleId="List3">
    <w:name w:val="List 3"/>
    <w:basedOn w:val="Normal"/>
    <w:uiPriority w:val="99"/>
    <w:semiHidden/>
    <w:unhideWhenUsed/>
    <w:rsid w:val="00D05CB8"/>
    <w:pPr>
      <w:ind w:left="1080" w:hanging="360"/>
      <w:contextualSpacing/>
    </w:pPr>
  </w:style>
  <w:style w:type="paragraph" w:styleId="Header">
    <w:name w:val="header"/>
    <w:basedOn w:val="Normal"/>
    <w:link w:val="HeaderChar"/>
    <w:uiPriority w:val="99"/>
    <w:unhideWhenUsed/>
    <w:rsid w:val="00383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311E"/>
    <w:rPr>
      <w:rFonts w:ascii="Times New Roman" w:hAnsi="Times New Roman"/>
      <w:sz w:val="20"/>
    </w:rPr>
  </w:style>
  <w:style w:type="paragraph" w:styleId="Footer">
    <w:name w:val="footer"/>
    <w:basedOn w:val="Normal"/>
    <w:link w:val="FooterChar"/>
    <w:uiPriority w:val="99"/>
    <w:unhideWhenUsed/>
    <w:rsid w:val="00383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311E"/>
    <w:rPr>
      <w:rFonts w:ascii="Times New Roman" w:hAnsi="Times New Roman"/>
      <w:sz w:val="20"/>
    </w:rPr>
  </w:style>
  <w:style w:type="paragraph" w:styleId="Revision">
    <w:name w:val="Revision"/>
    <w:hidden/>
    <w:uiPriority w:val="99"/>
    <w:semiHidden/>
    <w:rsid w:val="0000507C"/>
    <w:pPr>
      <w:spacing w:after="0" w:line="240" w:lineRule="auto"/>
    </w:pPr>
    <w:rPr>
      <w:rFonts w:ascii="Times New Roman" w:hAnsi="Times New Roman"/>
      <w:sz w:val="20"/>
    </w:rPr>
  </w:style>
  <w:style w:type="paragraph" w:customStyle="1" w:styleId="Tablecap">
    <w:name w:val="Table cap"/>
    <w:basedOn w:val="Caption"/>
    <w:link w:val="TablecapChar"/>
    <w:qFormat/>
    <w:rsid w:val="00E72C0F"/>
  </w:style>
  <w:style w:type="character" w:customStyle="1" w:styleId="TablecapChar">
    <w:name w:val="Table cap Char"/>
    <w:basedOn w:val="CaptionChar"/>
    <w:link w:val="Tablecap"/>
    <w:rsid w:val="00E72C0F"/>
    <w:rPr>
      <w:rFonts w:ascii="Arial" w:hAnsi="Arial"/>
      <w:i/>
      <w:iCs/>
      <w:sz w:val="18"/>
      <w:szCs w:val="18"/>
    </w:rPr>
  </w:style>
  <w:style w:type="character" w:customStyle="1" w:styleId="ui-provider">
    <w:name w:val="ui-provider"/>
    <w:basedOn w:val="DefaultParagraphFont"/>
    <w:rsid w:val="00882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911765">
      <w:bodyDiv w:val="1"/>
      <w:marLeft w:val="0"/>
      <w:marRight w:val="0"/>
      <w:marTop w:val="0"/>
      <w:marBottom w:val="0"/>
      <w:divBdr>
        <w:top w:val="none" w:sz="0" w:space="0" w:color="auto"/>
        <w:left w:val="none" w:sz="0" w:space="0" w:color="auto"/>
        <w:bottom w:val="none" w:sz="0" w:space="0" w:color="auto"/>
        <w:right w:val="none" w:sz="0" w:space="0" w:color="auto"/>
      </w:divBdr>
      <w:divsChild>
        <w:div w:id="1470903705">
          <w:marLeft w:val="0"/>
          <w:marRight w:val="0"/>
          <w:marTop w:val="0"/>
          <w:marBottom w:val="0"/>
          <w:divBdr>
            <w:top w:val="none" w:sz="0" w:space="0" w:color="auto"/>
            <w:left w:val="none" w:sz="0" w:space="0" w:color="auto"/>
            <w:bottom w:val="none" w:sz="0" w:space="0" w:color="auto"/>
            <w:right w:val="none" w:sz="0" w:space="0" w:color="auto"/>
          </w:divBdr>
        </w:div>
      </w:divsChild>
    </w:div>
    <w:div w:id="1682121923">
      <w:bodyDiv w:val="1"/>
      <w:marLeft w:val="0"/>
      <w:marRight w:val="0"/>
      <w:marTop w:val="0"/>
      <w:marBottom w:val="0"/>
      <w:divBdr>
        <w:top w:val="none" w:sz="0" w:space="0" w:color="auto"/>
        <w:left w:val="none" w:sz="0" w:space="0" w:color="auto"/>
        <w:bottom w:val="none" w:sz="0" w:space="0" w:color="auto"/>
        <w:right w:val="none" w:sz="0" w:space="0" w:color="auto"/>
      </w:divBdr>
      <w:divsChild>
        <w:div w:id="933439977">
          <w:marLeft w:val="0"/>
          <w:marRight w:val="0"/>
          <w:marTop w:val="0"/>
          <w:marBottom w:val="0"/>
          <w:divBdr>
            <w:top w:val="none" w:sz="0" w:space="0" w:color="auto"/>
            <w:left w:val="none" w:sz="0" w:space="0" w:color="auto"/>
            <w:bottom w:val="none" w:sz="0" w:space="0" w:color="auto"/>
            <w:right w:val="none" w:sz="0" w:space="0" w:color="auto"/>
          </w:divBdr>
        </w:div>
      </w:divsChild>
    </w:div>
    <w:div w:id="169607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5AIRPNAIUNRU-1328258698-21331</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https://nokia.sharepoint.com/sites/c5g/5gradio/_layouts/15/DocIdRedir.aspx?ID=5AIRPNAIUNRU-1328258698-21331</Url>
      <Description>5AIRPNAIUNRU-1328258698-21331</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B37F3EE6-729A-4263-B06A-9663F0193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C1B89-420F-47D8-AE92-1B67D8B80646}">
  <ds:schemaRefs>
    <ds:schemaRef ds:uri="Microsoft.SharePoint.Taxonomy.ContentTypeSync"/>
  </ds:schemaRefs>
</ds:datastoreItem>
</file>

<file path=customXml/itemProps4.xml><?xml version="1.0" encoding="utf-8"?>
<ds:datastoreItem xmlns:ds="http://schemas.openxmlformats.org/officeDocument/2006/customXml" ds:itemID="{DE855296-5354-4E7F-979B-299622163D79}">
  <ds:schemaRefs>
    <ds:schemaRef ds:uri="http://schemas.microsoft.com/sharepoint/events"/>
  </ds:schemaRefs>
</ds:datastoreItem>
</file>

<file path=customXml/itemProps5.xml><?xml version="1.0" encoding="utf-8"?>
<ds:datastoreItem xmlns:ds="http://schemas.openxmlformats.org/officeDocument/2006/customXml" ds:itemID="{5C4CDE6E-8BB1-405E-AD76-A23E7ACCD17E}">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71c5aaf6-e6ce-465b-b873-5148d2a4c105"/>
    <ds:schemaRef ds:uri="0b6aed8e-0313-4d17-80ff-d0e5da4931c5"/>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dcmitype/"/>
    <ds:schemaRef ds:uri="3b34c8f0-1ef5-4d1e-bb66-517ce7fe7356"/>
    <ds:schemaRef ds:uri="http://purl.org/dc/elements/1.1/"/>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1963</TotalTime>
  <Pages>8</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18162</CharactersWithSpaces>
  <SharedDoc>false</SharedDoc>
  <HLinks>
    <vt:vector size="108" baseType="variant">
      <vt:variant>
        <vt:i4>1441842</vt:i4>
      </vt:variant>
      <vt:variant>
        <vt:i4>83</vt:i4>
      </vt:variant>
      <vt:variant>
        <vt:i4>0</vt:i4>
      </vt:variant>
      <vt:variant>
        <vt:i4>5</vt:i4>
      </vt:variant>
      <vt:variant>
        <vt:lpwstr/>
      </vt:variant>
      <vt:variant>
        <vt:lpwstr>_Toc131676526</vt:lpwstr>
      </vt:variant>
      <vt:variant>
        <vt:i4>1441842</vt:i4>
      </vt:variant>
      <vt:variant>
        <vt:i4>80</vt:i4>
      </vt:variant>
      <vt:variant>
        <vt:i4>0</vt:i4>
      </vt:variant>
      <vt:variant>
        <vt:i4>5</vt:i4>
      </vt:variant>
      <vt:variant>
        <vt:lpwstr/>
      </vt:variant>
      <vt:variant>
        <vt:lpwstr>_Toc131676525</vt:lpwstr>
      </vt:variant>
      <vt:variant>
        <vt:i4>1441842</vt:i4>
      </vt:variant>
      <vt:variant>
        <vt:i4>77</vt:i4>
      </vt:variant>
      <vt:variant>
        <vt:i4>0</vt:i4>
      </vt:variant>
      <vt:variant>
        <vt:i4>5</vt:i4>
      </vt:variant>
      <vt:variant>
        <vt:lpwstr/>
      </vt:variant>
      <vt:variant>
        <vt:lpwstr>_Toc131676524</vt:lpwstr>
      </vt:variant>
      <vt:variant>
        <vt:i4>1441842</vt:i4>
      </vt:variant>
      <vt:variant>
        <vt:i4>74</vt:i4>
      </vt:variant>
      <vt:variant>
        <vt:i4>0</vt:i4>
      </vt:variant>
      <vt:variant>
        <vt:i4>5</vt:i4>
      </vt:variant>
      <vt:variant>
        <vt:lpwstr/>
      </vt:variant>
      <vt:variant>
        <vt:lpwstr>_Toc131676523</vt:lpwstr>
      </vt:variant>
      <vt:variant>
        <vt:i4>1441842</vt:i4>
      </vt:variant>
      <vt:variant>
        <vt:i4>71</vt:i4>
      </vt:variant>
      <vt:variant>
        <vt:i4>0</vt:i4>
      </vt:variant>
      <vt:variant>
        <vt:i4>5</vt:i4>
      </vt:variant>
      <vt:variant>
        <vt:lpwstr/>
      </vt:variant>
      <vt:variant>
        <vt:lpwstr>_Toc131676522</vt:lpwstr>
      </vt:variant>
      <vt:variant>
        <vt:i4>1441842</vt:i4>
      </vt:variant>
      <vt:variant>
        <vt:i4>68</vt:i4>
      </vt:variant>
      <vt:variant>
        <vt:i4>0</vt:i4>
      </vt:variant>
      <vt:variant>
        <vt:i4>5</vt:i4>
      </vt:variant>
      <vt:variant>
        <vt:lpwstr/>
      </vt:variant>
      <vt:variant>
        <vt:lpwstr>_Toc131676521</vt:lpwstr>
      </vt:variant>
      <vt:variant>
        <vt:i4>1441842</vt:i4>
      </vt:variant>
      <vt:variant>
        <vt:i4>65</vt:i4>
      </vt:variant>
      <vt:variant>
        <vt:i4>0</vt:i4>
      </vt:variant>
      <vt:variant>
        <vt:i4>5</vt:i4>
      </vt:variant>
      <vt:variant>
        <vt:lpwstr/>
      </vt:variant>
      <vt:variant>
        <vt:lpwstr>_Toc131676520</vt:lpwstr>
      </vt:variant>
      <vt:variant>
        <vt:i4>1376306</vt:i4>
      </vt:variant>
      <vt:variant>
        <vt:i4>62</vt:i4>
      </vt:variant>
      <vt:variant>
        <vt:i4>0</vt:i4>
      </vt:variant>
      <vt:variant>
        <vt:i4>5</vt:i4>
      </vt:variant>
      <vt:variant>
        <vt:lpwstr/>
      </vt:variant>
      <vt:variant>
        <vt:lpwstr>_Toc131676519</vt:lpwstr>
      </vt:variant>
      <vt:variant>
        <vt:i4>1376306</vt:i4>
      </vt:variant>
      <vt:variant>
        <vt:i4>59</vt:i4>
      </vt:variant>
      <vt:variant>
        <vt:i4>0</vt:i4>
      </vt:variant>
      <vt:variant>
        <vt:i4>5</vt:i4>
      </vt:variant>
      <vt:variant>
        <vt:lpwstr/>
      </vt:variant>
      <vt:variant>
        <vt:lpwstr>_Toc131676518</vt:lpwstr>
      </vt:variant>
      <vt:variant>
        <vt:i4>1376306</vt:i4>
      </vt:variant>
      <vt:variant>
        <vt:i4>56</vt:i4>
      </vt:variant>
      <vt:variant>
        <vt:i4>0</vt:i4>
      </vt:variant>
      <vt:variant>
        <vt:i4>5</vt:i4>
      </vt:variant>
      <vt:variant>
        <vt:lpwstr/>
      </vt:variant>
      <vt:variant>
        <vt:lpwstr>_Toc131676517</vt:lpwstr>
      </vt:variant>
      <vt:variant>
        <vt:i4>1376306</vt:i4>
      </vt:variant>
      <vt:variant>
        <vt:i4>53</vt:i4>
      </vt:variant>
      <vt:variant>
        <vt:i4>0</vt:i4>
      </vt:variant>
      <vt:variant>
        <vt:i4>5</vt:i4>
      </vt:variant>
      <vt:variant>
        <vt:lpwstr/>
      </vt:variant>
      <vt:variant>
        <vt:lpwstr>_Toc131676516</vt:lpwstr>
      </vt:variant>
      <vt:variant>
        <vt:i4>1376306</vt:i4>
      </vt:variant>
      <vt:variant>
        <vt:i4>50</vt:i4>
      </vt:variant>
      <vt:variant>
        <vt:i4>0</vt:i4>
      </vt:variant>
      <vt:variant>
        <vt:i4>5</vt:i4>
      </vt:variant>
      <vt:variant>
        <vt:lpwstr/>
      </vt:variant>
      <vt:variant>
        <vt:lpwstr>_Toc131676515</vt:lpwstr>
      </vt:variant>
      <vt:variant>
        <vt:i4>1376306</vt:i4>
      </vt:variant>
      <vt:variant>
        <vt:i4>47</vt:i4>
      </vt:variant>
      <vt:variant>
        <vt:i4>0</vt:i4>
      </vt:variant>
      <vt:variant>
        <vt:i4>5</vt:i4>
      </vt:variant>
      <vt:variant>
        <vt:lpwstr/>
      </vt:variant>
      <vt:variant>
        <vt:lpwstr>_Toc131676514</vt:lpwstr>
      </vt:variant>
      <vt:variant>
        <vt:i4>1376306</vt:i4>
      </vt:variant>
      <vt:variant>
        <vt:i4>44</vt:i4>
      </vt:variant>
      <vt:variant>
        <vt:i4>0</vt:i4>
      </vt:variant>
      <vt:variant>
        <vt:i4>5</vt:i4>
      </vt:variant>
      <vt:variant>
        <vt:lpwstr/>
      </vt:variant>
      <vt:variant>
        <vt:lpwstr>_Toc131676513</vt:lpwstr>
      </vt:variant>
      <vt:variant>
        <vt:i4>1376306</vt:i4>
      </vt:variant>
      <vt:variant>
        <vt:i4>41</vt:i4>
      </vt:variant>
      <vt:variant>
        <vt:i4>0</vt:i4>
      </vt:variant>
      <vt:variant>
        <vt:i4>5</vt:i4>
      </vt:variant>
      <vt:variant>
        <vt:lpwstr/>
      </vt:variant>
      <vt:variant>
        <vt:lpwstr>_Toc131676512</vt:lpwstr>
      </vt:variant>
      <vt:variant>
        <vt:i4>1376306</vt:i4>
      </vt:variant>
      <vt:variant>
        <vt:i4>38</vt:i4>
      </vt:variant>
      <vt:variant>
        <vt:i4>0</vt:i4>
      </vt:variant>
      <vt:variant>
        <vt:i4>5</vt:i4>
      </vt:variant>
      <vt:variant>
        <vt:lpwstr/>
      </vt:variant>
      <vt:variant>
        <vt:lpwstr>_Toc131676511</vt:lpwstr>
      </vt:variant>
      <vt:variant>
        <vt:i4>1376306</vt:i4>
      </vt:variant>
      <vt:variant>
        <vt:i4>35</vt:i4>
      </vt:variant>
      <vt:variant>
        <vt:i4>0</vt:i4>
      </vt:variant>
      <vt:variant>
        <vt:i4>5</vt:i4>
      </vt:variant>
      <vt:variant>
        <vt:lpwstr/>
      </vt:variant>
      <vt:variant>
        <vt:lpwstr>_Toc131676510</vt:lpwstr>
      </vt:variant>
      <vt:variant>
        <vt:i4>1310770</vt:i4>
      </vt:variant>
      <vt:variant>
        <vt:i4>32</vt:i4>
      </vt:variant>
      <vt:variant>
        <vt:i4>0</vt:i4>
      </vt:variant>
      <vt:variant>
        <vt:i4>5</vt:i4>
      </vt:variant>
      <vt:variant>
        <vt:lpwstr/>
      </vt:variant>
      <vt:variant>
        <vt:lpwstr>_Toc131676509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262</cp:revision>
  <dcterms:created xsi:type="dcterms:W3CDTF">2023-03-01T20:06:00Z</dcterms:created>
  <dcterms:modified xsi:type="dcterms:W3CDTF">2023-04-10T07:55:00Z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923ac4ae-1595-4d42-aa64-4379c8d23eb6</vt:lpwstr>
  </property>
  <property fmtid="{D5CDD505-2E9C-101B-9397-08002B2CF9AE}" pid="11" name="MediaServiceImageTags">
    <vt:lpwstr/>
  </property>
  <property fmtid="{D5CDD505-2E9C-101B-9397-08002B2CF9AE}" pid="12" name="Order">
    <vt:r8>2062100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Documents/RAN4 106bis e-meeting/Rel-18/NR_FR2_multiRX_DL/MRx RRM/Contributions/R4-23xxxxx Discussion on MultiRx TCI state switching.docx</vt:lpwstr>
  </property>
</Properties>
</file>